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D6" w:rsidRPr="006661A5" w:rsidRDefault="008D40D6" w:rsidP="000C013A">
      <w:pPr>
        <w:pStyle w:val="TxBrp1"/>
        <w:spacing w:line="276" w:lineRule="auto"/>
        <w:ind w:hanging="34"/>
        <w:rPr>
          <w:rFonts w:asciiTheme="minorHAnsi" w:hAnsiTheme="minorHAnsi" w:cs="Arial"/>
          <w:sz w:val="22"/>
          <w:szCs w:val="22"/>
        </w:rPr>
      </w:pPr>
    </w:p>
    <w:p w:rsidR="008D40D6" w:rsidRPr="006661A5" w:rsidRDefault="00305E84" w:rsidP="000C013A">
      <w:pPr>
        <w:pStyle w:val="TxBrp1"/>
        <w:spacing w:line="276" w:lineRule="auto"/>
        <w:ind w:hanging="34"/>
        <w:jc w:val="center"/>
        <w:rPr>
          <w:rFonts w:asciiTheme="minorHAnsi" w:hAnsiTheme="minorHAnsi" w:cs="Arial"/>
          <w:sz w:val="22"/>
          <w:szCs w:val="22"/>
          <w:lang w:val="nl-NL"/>
        </w:rPr>
      </w:pPr>
      <w:r w:rsidRPr="006661A5">
        <w:rPr>
          <w:rFonts w:asciiTheme="minorHAnsi" w:hAnsiTheme="minorHAnsi" w:cs="Arial"/>
          <w:sz w:val="22"/>
          <w:szCs w:val="22"/>
          <w:u w:val="single"/>
          <w:lang w:val="nl-NL"/>
        </w:rPr>
        <w:t>Heterogene vinyl</w:t>
      </w:r>
      <w:r w:rsidR="00037D9B" w:rsidRPr="006661A5">
        <w:rPr>
          <w:rFonts w:asciiTheme="minorHAnsi" w:hAnsiTheme="minorHAnsi" w:cs="Arial"/>
          <w:sz w:val="22"/>
          <w:szCs w:val="22"/>
          <w:u w:val="single"/>
          <w:lang w:val="nl-NL"/>
        </w:rPr>
        <w:t>vloer met dikte</w:t>
      </w:r>
      <w:r w:rsidR="00DA2334" w:rsidRPr="006661A5">
        <w:rPr>
          <w:rFonts w:asciiTheme="minorHAnsi" w:hAnsiTheme="minorHAnsi" w:cs="Arial"/>
          <w:sz w:val="22"/>
          <w:szCs w:val="22"/>
          <w:u w:val="single"/>
          <w:lang w:val="nl-NL"/>
        </w:rPr>
        <w:t xml:space="preserve"> 2</w:t>
      </w:r>
      <w:r w:rsidR="00E068BF" w:rsidRPr="006661A5">
        <w:rPr>
          <w:rFonts w:asciiTheme="minorHAnsi" w:hAnsiTheme="minorHAnsi" w:cs="Arial"/>
          <w:sz w:val="22"/>
          <w:szCs w:val="22"/>
          <w:u w:val="single"/>
          <w:lang w:val="nl-NL"/>
        </w:rPr>
        <w:t xml:space="preserve"> mm</w:t>
      </w:r>
    </w:p>
    <w:p w:rsidR="008D40D6" w:rsidRPr="006661A5" w:rsidRDefault="007A74B1" w:rsidP="000C013A">
      <w:pPr>
        <w:pStyle w:val="TxBrp1"/>
        <w:spacing w:line="276" w:lineRule="auto"/>
        <w:ind w:left="0" w:firstLine="0"/>
        <w:rPr>
          <w:rFonts w:asciiTheme="minorHAnsi" w:hAnsiTheme="minorHAnsi" w:cs="Arial"/>
          <w:sz w:val="22"/>
          <w:szCs w:val="22"/>
          <w:lang w:val="nl-NL"/>
        </w:rPr>
      </w:pPr>
      <w:r w:rsidRPr="006661A5">
        <w:rPr>
          <w:rFonts w:asciiTheme="minorHAnsi" w:hAnsiTheme="minorHAnsi" w:cs="Arial"/>
          <w:sz w:val="22"/>
          <w:szCs w:val="22"/>
          <w:lang w:val="nl-NL"/>
        </w:rPr>
        <w:t xml:space="preserve">                                </w:t>
      </w:r>
    </w:p>
    <w:p w:rsidR="00CE65AA" w:rsidRPr="006661A5" w:rsidRDefault="00CE65AA" w:rsidP="000C013A">
      <w:pPr>
        <w:pStyle w:val="TxBrp1"/>
        <w:spacing w:line="276" w:lineRule="auto"/>
        <w:ind w:left="0" w:firstLine="0"/>
        <w:rPr>
          <w:rFonts w:asciiTheme="minorHAnsi" w:hAnsiTheme="minorHAnsi" w:cs="Arial"/>
          <w:sz w:val="22"/>
          <w:szCs w:val="22"/>
          <w:lang w:val="nl-NL"/>
        </w:rPr>
      </w:pPr>
    </w:p>
    <w:p w:rsidR="00293390" w:rsidRPr="006661A5" w:rsidRDefault="00CE65AA" w:rsidP="000C013A">
      <w:pPr>
        <w:spacing w:line="276" w:lineRule="auto"/>
        <w:rPr>
          <w:rFonts w:asciiTheme="minorHAnsi" w:eastAsia="MS Mincho" w:hAnsiTheme="minorHAnsi" w:cs="ArialMT"/>
          <w:sz w:val="22"/>
          <w:szCs w:val="22"/>
          <w:lang w:val="nl-NL" w:eastAsia="ja-JP"/>
        </w:rPr>
      </w:pPr>
      <w:r w:rsidRPr="006661A5">
        <w:rPr>
          <w:rFonts w:asciiTheme="minorHAnsi" w:eastAsia="MS Mincho" w:hAnsiTheme="minorHAnsi" w:cs="ArialMT"/>
          <w:sz w:val="22"/>
          <w:szCs w:val="22"/>
          <w:lang w:val="nl-NL" w:eastAsia="ja-JP"/>
        </w:rPr>
        <w:t>Meting:</w:t>
      </w:r>
      <w:r w:rsidR="00CB72B2" w:rsidRPr="006661A5">
        <w:rPr>
          <w:rFonts w:asciiTheme="minorHAnsi" w:eastAsia="MS Mincho" w:hAnsiTheme="minorHAnsi" w:cs="ArialMT"/>
          <w:sz w:val="22"/>
          <w:szCs w:val="22"/>
          <w:lang w:val="nl-NL" w:eastAsia="ja-JP"/>
        </w:rPr>
        <w:t xml:space="preserve"> </w:t>
      </w:r>
      <w:r w:rsidR="00BB3C8A">
        <w:rPr>
          <w:rFonts w:asciiTheme="minorHAnsi" w:eastAsia="MS Mincho" w:hAnsiTheme="minorHAnsi" w:cs="Arial"/>
          <w:sz w:val="22"/>
          <w:szCs w:val="22"/>
          <w:lang w:val="nl-NL"/>
        </w:rPr>
        <w:t>m</w:t>
      </w:r>
      <w:r w:rsidR="00CB72B2" w:rsidRPr="006661A5">
        <w:rPr>
          <w:rFonts w:asciiTheme="minorHAnsi" w:eastAsia="MS Mincho" w:hAnsiTheme="minorHAnsi" w:cs="Arial"/>
          <w:sz w:val="22"/>
          <w:szCs w:val="22"/>
          <w:lang w:val="nl-NL"/>
        </w:rPr>
        <w:t>², per vierkante meter, volgens type</w:t>
      </w:r>
    </w:p>
    <w:p w:rsidR="00293390" w:rsidRPr="006661A5" w:rsidRDefault="00CE65AA" w:rsidP="000C013A">
      <w:pPr>
        <w:spacing w:line="276" w:lineRule="auto"/>
        <w:rPr>
          <w:rFonts w:asciiTheme="minorHAnsi" w:eastAsia="MS Mincho" w:hAnsiTheme="minorHAnsi" w:cs="ArialMT"/>
          <w:sz w:val="22"/>
          <w:szCs w:val="22"/>
          <w:lang w:val="nl-NL" w:eastAsia="ja-JP"/>
        </w:rPr>
      </w:pPr>
      <w:r w:rsidRPr="006661A5">
        <w:rPr>
          <w:rFonts w:asciiTheme="minorHAnsi" w:eastAsia="MS Mincho" w:hAnsiTheme="minorHAnsi" w:cs="ArialMT"/>
          <w:sz w:val="22"/>
          <w:szCs w:val="22"/>
          <w:lang w:val="nl-NL" w:eastAsia="ja-JP"/>
        </w:rPr>
        <w:t>Meetcode:</w:t>
      </w:r>
      <w:r w:rsidR="00293390" w:rsidRPr="006661A5">
        <w:rPr>
          <w:rFonts w:asciiTheme="minorHAnsi" w:eastAsia="MS Mincho" w:hAnsiTheme="minorHAnsi" w:cs="ArialMT"/>
          <w:sz w:val="22"/>
          <w:szCs w:val="22"/>
          <w:lang w:val="nl-NL" w:eastAsia="ja-JP"/>
        </w:rPr>
        <w:t xml:space="preserve"> netto oppervlakte</w:t>
      </w:r>
    </w:p>
    <w:p w:rsidR="00BB3C8A" w:rsidRDefault="00BB3C8A" w:rsidP="000C013A">
      <w:pPr>
        <w:pStyle w:val="TxBrp2"/>
        <w:spacing w:line="276" w:lineRule="auto"/>
        <w:ind w:left="8220"/>
        <w:rPr>
          <w:rFonts w:asciiTheme="minorHAnsi" w:hAnsiTheme="minorHAnsi" w:cs="Arial"/>
          <w:sz w:val="22"/>
          <w:szCs w:val="22"/>
          <w:lang w:val="nl-NL"/>
        </w:rPr>
      </w:pPr>
    </w:p>
    <w:p w:rsidR="00AB3523" w:rsidRPr="006661A5" w:rsidRDefault="00AB58DD" w:rsidP="000C013A">
      <w:pPr>
        <w:pStyle w:val="TxBrp2"/>
        <w:spacing w:line="276" w:lineRule="auto"/>
        <w:ind w:left="8220"/>
        <w:rPr>
          <w:rFonts w:asciiTheme="minorHAnsi" w:hAnsiTheme="minorHAnsi" w:cs="Arial"/>
          <w:sz w:val="22"/>
          <w:szCs w:val="22"/>
          <w:lang w:val="nl-NL"/>
        </w:rPr>
      </w:pPr>
      <w:r w:rsidRPr="006661A5">
        <w:rPr>
          <w:rFonts w:asciiTheme="minorHAnsi" w:hAnsiTheme="minorHAnsi" w:cs="Arial"/>
          <w:sz w:val="22"/>
          <w:szCs w:val="22"/>
          <w:lang w:val="nl-NL"/>
        </w:rPr>
        <w:tab/>
      </w:r>
    </w:p>
    <w:p w:rsidR="00556C50" w:rsidRDefault="00BB3C8A" w:rsidP="000C013A">
      <w:pPr>
        <w:tabs>
          <w:tab w:val="left" w:pos="204"/>
        </w:tabs>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rsidR="00C024D7" w:rsidRPr="006661A5" w:rsidRDefault="00C024D7" w:rsidP="000C013A">
      <w:pPr>
        <w:tabs>
          <w:tab w:val="left" w:pos="204"/>
        </w:tabs>
        <w:spacing w:line="276" w:lineRule="auto"/>
        <w:rPr>
          <w:rFonts w:asciiTheme="minorHAnsi" w:hAnsiTheme="minorHAnsi" w:cs="Arial"/>
          <w:sz w:val="22"/>
          <w:szCs w:val="22"/>
          <w:lang w:val="nl-NL"/>
        </w:rPr>
      </w:pPr>
    </w:p>
    <w:p w:rsidR="00C024D7" w:rsidRDefault="00C024D7" w:rsidP="000C013A">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Heterogene vinyl 2</w:t>
      </w:r>
      <w:r w:rsidR="006661A5">
        <w:rPr>
          <w:rFonts w:asciiTheme="minorHAnsi" w:hAnsiTheme="minorHAnsi" w:cs="Arial"/>
          <w:sz w:val="22"/>
          <w:szCs w:val="22"/>
          <w:lang w:val="nl-NL"/>
        </w:rPr>
        <w:t xml:space="preserve"> </w:t>
      </w:r>
      <w:r w:rsidRPr="006661A5">
        <w:rPr>
          <w:rFonts w:asciiTheme="minorHAnsi" w:hAnsiTheme="minorHAnsi" w:cs="Arial"/>
          <w:sz w:val="22"/>
          <w:szCs w:val="22"/>
          <w:lang w:val="nl-NL"/>
        </w:rPr>
        <w:t>mm dikte in banen van 2 m breedte geschikt voor zwaar commercieel gebruik klasse 34.</w:t>
      </w:r>
    </w:p>
    <w:p w:rsidR="00BB3C8A" w:rsidRPr="006661A5" w:rsidRDefault="00BB3C8A" w:rsidP="000C013A">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rFonts w:asciiTheme="minorHAnsi" w:hAnsiTheme="minorHAnsi" w:cs="Arial"/>
          <w:sz w:val="22"/>
          <w:szCs w:val="22"/>
          <w:lang w:val="nl-NL"/>
        </w:rPr>
      </w:pPr>
    </w:p>
    <w:p w:rsidR="00BB3C8A" w:rsidRDefault="00C024D7"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Het betreft een </w:t>
      </w:r>
      <w:r w:rsidR="000C013A">
        <w:rPr>
          <w:rFonts w:asciiTheme="minorHAnsi" w:hAnsiTheme="minorHAnsi" w:cs="Arial"/>
          <w:color w:val="000000"/>
          <w:sz w:val="22"/>
          <w:szCs w:val="22"/>
          <w:lang w:val="nl-NL"/>
        </w:rPr>
        <w:t>2-</w:t>
      </w:r>
      <w:r w:rsidRPr="006661A5">
        <w:rPr>
          <w:rFonts w:asciiTheme="minorHAnsi" w:hAnsiTheme="minorHAnsi" w:cs="Arial"/>
          <w:color w:val="000000"/>
          <w:sz w:val="22"/>
          <w:szCs w:val="22"/>
          <w:lang w:val="nl-NL"/>
        </w:rPr>
        <w:t>lagig</w:t>
      </w:r>
      <w:r w:rsidR="0084014E">
        <w:rPr>
          <w:rFonts w:asciiTheme="minorHAnsi" w:hAnsiTheme="minorHAnsi" w:cs="Arial"/>
          <w:color w:val="000000"/>
          <w:sz w:val="22"/>
          <w:szCs w:val="22"/>
          <w:lang w:val="nl-NL"/>
        </w:rPr>
        <w:t>e</w:t>
      </w:r>
      <w:r w:rsidRPr="006661A5">
        <w:rPr>
          <w:rFonts w:asciiTheme="minorHAnsi" w:hAnsiTheme="minorHAnsi" w:cs="Arial"/>
          <w:color w:val="000000"/>
          <w:sz w:val="22"/>
          <w:szCs w:val="22"/>
          <w:lang w:val="nl-NL"/>
        </w:rPr>
        <w:t xml:space="preserve"> gekalanderde heterogene vinyl met een 0,7 mm dikke compacte toplaag (transparant of gekleurd) uit 100% PVC, een gedrukt dessin met milieuvriendelijke inktsoorten op basis van water, een compacte onderlaag voor een goede zichtbaarheid van het afgedrukte beeld. </w:t>
      </w:r>
    </w:p>
    <w:p w:rsidR="00C024D7" w:rsidRDefault="00C024D7"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Het geheel wordt gekalanderd op een geïmpregneerde glasvliesdrager om een hoge maatvastheid te bekomen. De rug bestaat voor</w:t>
      </w:r>
      <w:r w:rsidR="0084014E">
        <w:rPr>
          <w:rFonts w:asciiTheme="minorHAnsi" w:hAnsiTheme="minorHAnsi" w:cs="Arial"/>
          <w:color w:val="000000"/>
          <w:sz w:val="22"/>
          <w:szCs w:val="22"/>
          <w:lang w:val="nl-NL"/>
        </w:rPr>
        <w:t xml:space="preserve"> minstens uit</w:t>
      </w:r>
      <w:r w:rsidRPr="006661A5">
        <w:rPr>
          <w:rFonts w:asciiTheme="minorHAnsi" w:hAnsiTheme="minorHAnsi" w:cs="Arial"/>
          <w:color w:val="000000"/>
          <w:sz w:val="22"/>
          <w:szCs w:val="22"/>
          <w:lang w:val="nl-NL"/>
        </w:rPr>
        <w:t xml:space="preserve"> </w:t>
      </w:r>
      <w:r w:rsidR="0084014E">
        <w:rPr>
          <w:rFonts w:asciiTheme="minorHAnsi" w:hAnsiTheme="minorHAnsi" w:cs="Arial"/>
          <w:color w:val="000000"/>
          <w:sz w:val="22"/>
          <w:szCs w:val="22"/>
          <w:lang w:val="nl-NL"/>
        </w:rPr>
        <w:t>6</w:t>
      </w:r>
      <w:r w:rsidRPr="006661A5">
        <w:rPr>
          <w:rFonts w:asciiTheme="minorHAnsi" w:hAnsiTheme="minorHAnsi" w:cs="Arial"/>
          <w:color w:val="000000"/>
          <w:sz w:val="22"/>
          <w:szCs w:val="22"/>
          <w:lang w:val="nl-NL"/>
        </w:rPr>
        <w:t>0%  gerecycleerd PVC en is voorzien van een reliëf voor een optimale lijmhechting.</w:t>
      </w:r>
    </w:p>
    <w:p w:rsidR="00BB3C8A" w:rsidRPr="006661A5" w:rsidRDefault="00BB3C8A" w:rsidP="000C013A">
      <w:pPr>
        <w:pStyle w:val="TxBrp4"/>
        <w:spacing w:line="276" w:lineRule="auto"/>
        <w:rPr>
          <w:rFonts w:asciiTheme="minorHAnsi" w:hAnsiTheme="minorHAnsi" w:cs="Arial"/>
          <w:color w:val="000000"/>
          <w:sz w:val="22"/>
          <w:szCs w:val="22"/>
          <w:lang w:val="nl-NL"/>
        </w:rPr>
      </w:pPr>
    </w:p>
    <w:p w:rsidR="00037D9B" w:rsidRDefault="00C024D7"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Het vinyl wordt fabrieksmatig voorzien</w:t>
      </w:r>
      <w:r w:rsidR="00F251D3">
        <w:rPr>
          <w:rFonts w:asciiTheme="minorHAnsi" w:hAnsiTheme="minorHAnsi" w:cs="Arial"/>
          <w:color w:val="000000"/>
          <w:sz w:val="22"/>
          <w:szCs w:val="22"/>
          <w:lang w:val="nl-NL"/>
        </w:rPr>
        <w:t xml:space="preserve"> van een PUR Pearl</w:t>
      </w:r>
      <w:r w:rsidRPr="006661A5">
        <w:rPr>
          <w:rFonts w:asciiTheme="minorHAnsi" w:hAnsiTheme="minorHAnsi" w:cs="Arial"/>
          <w:color w:val="000000"/>
          <w:sz w:val="22"/>
          <w:szCs w:val="22"/>
          <w:lang w:val="nl-NL"/>
        </w:rPr>
        <w:t xml:space="preserve"> finish aangebracht volgens de microreliëf-technologie met een matte look die zorgt voor verhoogde krasbestendigheid en de schoonmaak vergemakkelijkt. De techniek van het aanbrengen van de laklaag zorgt voor een gelijke verdeling van PUR Pearl op het oppervlak en in de diepere delen van het reliëf.</w:t>
      </w:r>
    </w:p>
    <w:p w:rsidR="00BB3C8A" w:rsidRPr="006661A5" w:rsidRDefault="00BB3C8A" w:rsidP="000C013A">
      <w:pPr>
        <w:pStyle w:val="TxBrp4"/>
        <w:spacing w:line="276" w:lineRule="auto"/>
        <w:rPr>
          <w:rFonts w:asciiTheme="minorHAnsi" w:hAnsiTheme="minorHAnsi" w:cs="Arial"/>
          <w:color w:val="000000"/>
          <w:sz w:val="22"/>
          <w:szCs w:val="22"/>
          <w:lang w:val="nl-NL"/>
        </w:rPr>
      </w:pPr>
    </w:p>
    <w:p w:rsidR="00871103" w:rsidRDefault="00C024D7"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Het vinyl is </w:t>
      </w:r>
      <w:r w:rsidR="00037D9B" w:rsidRPr="006661A5">
        <w:rPr>
          <w:rFonts w:asciiTheme="minorHAnsi" w:hAnsiTheme="minorHAnsi" w:cs="Arial"/>
          <w:color w:val="000000"/>
          <w:sz w:val="22"/>
          <w:szCs w:val="22"/>
          <w:lang w:val="nl-NL"/>
        </w:rPr>
        <w:t xml:space="preserve">verkrijgbaar in </w:t>
      </w:r>
      <w:r w:rsidR="0084014E">
        <w:rPr>
          <w:rFonts w:asciiTheme="minorHAnsi" w:hAnsiTheme="minorHAnsi" w:cs="Arial"/>
          <w:color w:val="000000"/>
          <w:sz w:val="22"/>
          <w:szCs w:val="22"/>
          <w:lang w:val="nl-NL"/>
        </w:rPr>
        <w:t>3</w:t>
      </w:r>
      <w:r w:rsidR="00037D9B" w:rsidRPr="006661A5">
        <w:rPr>
          <w:rFonts w:asciiTheme="minorHAnsi" w:hAnsiTheme="minorHAnsi" w:cs="Arial"/>
          <w:color w:val="000000"/>
          <w:sz w:val="22"/>
          <w:szCs w:val="22"/>
          <w:lang w:val="nl-NL"/>
        </w:rPr>
        <w:t xml:space="preserve"> verschillende dessins (</w:t>
      </w:r>
      <w:r w:rsidR="00FD3E18">
        <w:rPr>
          <w:rFonts w:asciiTheme="minorHAnsi" w:hAnsiTheme="minorHAnsi" w:cs="Arial"/>
          <w:color w:val="000000"/>
          <w:sz w:val="22"/>
          <w:szCs w:val="22"/>
          <w:lang w:val="nl-NL"/>
        </w:rPr>
        <w:t>W</w:t>
      </w:r>
      <w:r w:rsidR="00D01E11">
        <w:rPr>
          <w:rFonts w:asciiTheme="minorHAnsi" w:hAnsiTheme="minorHAnsi" w:cs="Arial"/>
          <w:color w:val="000000"/>
          <w:sz w:val="22"/>
          <w:szCs w:val="22"/>
          <w:lang w:val="nl-NL"/>
        </w:rPr>
        <w:t>ood,</w:t>
      </w:r>
      <w:r w:rsidR="00FD3E18">
        <w:rPr>
          <w:rFonts w:asciiTheme="minorHAnsi" w:hAnsiTheme="minorHAnsi" w:cs="Arial"/>
          <w:color w:val="000000"/>
          <w:sz w:val="22"/>
          <w:szCs w:val="22"/>
          <w:lang w:val="nl-NL"/>
        </w:rPr>
        <w:t xml:space="preserve"> </w:t>
      </w:r>
      <w:proofErr w:type="spellStart"/>
      <w:r w:rsidR="00FD3E18">
        <w:rPr>
          <w:rFonts w:asciiTheme="minorHAnsi" w:hAnsiTheme="minorHAnsi" w:cs="Arial"/>
          <w:color w:val="000000"/>
          <w:sz w:val="22"/>
          <w:szCs w:val="22"/>
          <w:lang w:val="nl-NL"/>
        </w:rPr>
        <w:t>M</w:t>
      </w:r>
      <w:r w:rsidR="00D01E11">
        <w:rPr>
          <w:rFonts w:asciiTheme="minorHAnsi" w:hAnsiTheme="minorHAnsi" w:cs="Arial"/>
          <w:color w:val="000000"/>
          <w:sz w:val="22"/>
          <w:szCs w:val="22"/>
          <w:lang w:val="nl-NL"/>
        </w:rPr>
        <w:t>aterial</w:t>
      </w:r>
      <w:proofErr w:type="spellEnd"/>
      <w:r w:rsidR="00D01E11">
        <w:rPr>
          <w:rFonts w:asciiTheme="minorHAnsi" w:hAnsiTheme="minorHAnsi" w:cs="Arial"/>
          <w:color w:val="000000"/>
          <w:sz w:val="22"/>
          <w:szCs w:val="22"/>
          <w:lang w:val="nl-NL"/>
        </w:rPr>
        <w:t xml:space="preserve"> en </w:t>
      </w:r>
      <w:r w:rsidR="00FD3E18">
        <w:rPr>
          <w:rFonts w:asciiTheme="minorHAnsi" w:hAnsiTheme="minorHAnsi" w:cs="Arial"/>
          <w:color w:val="000000"/>
          <w:sz w:val="22"/>
          <w:szCs w:val="22"/>
          <w:lang w:val="nl-NL"/>
        </w:rPr>
        <w:t>C</w:t>
      </w:r>
      <w:r w:rsidR="00D01E11">
        <w:rPr>
          <w:rFonts w:asciiTheme="minorHAnsi" w:hAnsiTheme="minorHAnsi" w:cs="Arial"/>
          <w:color w:val="000000"/>
          <w:sz w:val="22"/>
          <w:szCs w:val="22"/>
          <w:lang w:val="nl-NL"/>
        </w:rPr>
        <w:t>olour</w:t>
      </w:r>
      <w:r w:rsidR="00C639C3" w:rsidRPr="006661A5">
        <w:rPr>
          <w:rFonts w:asciiTheme="minorHAnsi" w:hAnsiTheme="minorHAnsi" w:cs="Arial"/>
          <w:color w:val="000000"/>
          <w:sz w:val="22"/>
          <w:szCs w:val="22"/>
          <w:lang w:val="nl-NL"/>
        </w:rPr>
        <w:t>) en 96</w:t>
      </w:r>
      <w:r w:rsidRPr="006661A5">
        <w:rPr>
          <w:rFonts w:asciiTheme="minorHAnsi" w:hAnsiTheme="minorHAnsi" w:cs="Arial"/>
          <w:color w:val="000000"/>
          <w:sz w:val="22"/>
          <w:szCs w:val="22"/>
          <w:lang w:val="nl-NL"/>
        </w:rPr>
        <w:t xml:space="preserve"> kleuren.</w:t>
      </w:r>
      <w:r w:rsidR="006661A5">
        <w:rPr>
          <w:rFonts w:asciiTheme="minorHAnsi" w:hAnsiTheme="minorHAnsi" w:cs="Arial"/>
          <w:color w:val="000000"/>
          <w:sz w:val="22"/>
          <w:szCs w:val="22"/>
          <w:lang w:val="nl-NL"/>
        </w:rPr>
        <w:t xml:space="preserve"> </w:t>
      </w:r>
    </w:p>
    <w:p w:rsidR="00D01E11" w:rsidRDefault="00D01E11"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Het herhalend patroon van 1,5 lm zorgt voor een natuurlijke look</w:t>
      </w:r>
      <w:r w:rsidR="00036650">
        <w:rPr>
          <w:rFonts w:asciiTheme="minorHAnsi" w:hAnsiTheme="minorHAnsi" w:cs="Arial"/>
          <w:color w:val="000000"/>
          <w:sz w:val="22"/>
          <w:szCs w:val="22"/>
          <w:lang w:val="nl-NL"/>
        </w:rPr>
        <w:t>.</w:t>
      </w:r>
    </w:p>
    <w:p w:rsidR="00BB3C8A" w:rsidRPr="006661A5" w:rsidRDefault="00BB3C8A" w:rsidP="000C013A">
      <w:pPr>
        <w:pStyle w:val="TxBrp4"/>
        <w:spacing w:line="276" w:lineRule="auto"/>
        <w:rPr>
          <w:rFonts w:asciiTheme="minorHAnsi" w:hAnsiTheme="minorHAnsi" w:cs="Arial"/>
          <w:color w:val="000000"/>
          <w:sz w:val="22"/>
          <w:szCs w:val="22"/>
          <w:lang w:val="nl-NL"/>
        </w:rPr>
      </w:pPr>
    </w:p>
    <w:p w:rsidR="00BB3C8A" w:rsidRPr="00621148" w:rsidRDefault="00BB3C8A" w:rsidP="000C013A">
      <w:pPr>
        <w:pStyle w:val="TxBrp4"/>
        <w:tabs>
          <w:tab w:val="clear" w:pos="204"/>
          <w:tab w:val="left" w:pos="708"/>
        </w:tabs>
        <w:spacing w:line="276" w:lineRule="auto"/>
        <w:rPr>
          <w:rFonts w:asciiTheme="minorHAnsi" w:hAnsiTheme="minorHAnsi" w:cs="Arial"/>
          <w:sz w:val="22"/>
          <w:szCs w:val="22"/>
          <w:lang w:val="nl-BE"/>
        </w:rPr>
      </w:pPr>
      <w:r w:rsidRPr="00621148">
        <w:rPr>
          <w:rFonts w:asciiTheme="minorHAnsi" w:hAnsiTheme="minorHAnsi" w:cs="Arial"/>
          <w:sz w:val="22"/>
          <w:szCs w:val="22"/>
          <w:lang w:val="nl-BE"/>
        </w:rPr>
        <w:t>Het vinyl is</w:t>
      </w:r>
      <w:r w:rsidR="004A2AEC">
        <w:rPr>
          <w:rFonts w:asciiTheme="minorHAnsi" w:hAnsiTheme="minorHAnsi" w:cs="Arial"/>
          <w:sz w:val="22"/>
          <w:szCs w:val="22"/>
          <w:lang w:val="nl-BE"/>
        </w:rPr>
        <w:t xml:space="preserve"> in Europa</w:t>
      </w:r>
      <w:r w:rsidRPr="00621148">
        <w:rPr>
          <w:rFonts w:asciiTheme="minorHAnsi" w:hAnsiTheme="minorHAnsi" w:cs="Arial"/>
          <w:sz w:val="22"/>
          <w:szCs w:val="22"/>
          <w:lang w:val="nl-BE"/>
        </w:rPr>
        <w:t xml:space="preserve"> geproduceerd volgens een</w:t>
      </w:r>
      <w:r w:rsidR="0084014E">
        <w:rPr>
          <w:rFonts w:asciiTheme="minorHAnsi" w:hAnsiTheme="minorHAnsi" w:cs="Arial"/>
          <w:sz w:val="22"/>
          <w:szCs w:val="22"/>
          <w:lang w:val="nl-BE"/>
        </w:rPr>
        <w:t xml:space="preserve"> 100%</w:t>
      </w:r>
      <w:r w:rsidRPr="00621148">
        <w:rPr>
          <w:rFonts w:asciiTheme="minorHAnsi" w:hAnsiTheme="minorHAnsi" w:cs="Arial"/>
          <w:sz w:val="22"/>
          <w:szCs w:val="22"/>
          <w:lang w:val="nl-BE"/>
        </w:rPr>
        <w:t xml:space="preserve"> </w:t>
      </w:r>
      <w:proofErr w:type="spellStart"/>
      <w:r w:rsidRPr="00621148">
        <w:rPr>
          <w:rFonts w:asciiTheme="minorHAnsi" w:hAnsiTheme="minorHAnsi" w:cs="Arial"/>
          <w:sz w:val="22"/>
          <w:szCs w:val="22"/>
          <w:lang w:val="nl-BE"/>
        </w:rPr>
        <w:t>ftalaat</w:t>
      </w:r>
      <w:proofErr w:type="spellEnd"/>
      <w:r w:rsidRPr="00621148">
        <w:rPr>
          <w:rFonts w:asciiTheme="minorHAnsi" w:hAnsiTheme="minorHAnsi" w:cs="Arial"/>
          <w:sz w:val="22"/>
          <w:szCs w:val="22"/>
          <w:lang w:val="nl-BE"/>
        </w:rPr>
        <w:t xml:space="preserve"> vrije technologie. Bij de productie wordt </w:t>
      </w:r>
      <w:r w:rsidR="0084014E">
        <w:rPr>
          <w:rFonts w:asciiTheme="minorHAnsi" w:hAnsiTheme="minorHAnsi" w:cs="Arial"/>
          <w:sz w:val="22"/>
          <w:szCs w:val="22"/>
          <w:lang w:val="nl-BE"/>
        </w:rPr>
        <w:t xml:space="preserve">voor 100% gebruik </w:t>
      </w:r>
      <w:r w:rsidRPr="00621148">
        <w:rPr>
          <w:rFonts w:asciiTheme="minorHAnsi" w:hAnsiTheme="minorHAnsi" w:cs="Arial"/>
          <w:sz w:val="22"/>
          <w:szCs w:val="22"/>
          <w:lang w:val="nl-BE"/>
        </w:rPr>
        <w:t>gemaakt van groene stroom die afkomstig is van hernieuwbare bronnen. Dit maakt deel uit van een effectief milieubeheersysteem dat ISO 14001 gecertificeerd is.</w:t>
      </w:r>
    </w:p>
    <w:p w:rsidR="00BB3C8A" w:rsidRPr="00621148" w:rsidRDefault="00BB3C8A" w:rsidP="000C013A">
      <w:pPr>
        <w:spacing w:line="276" w:lineRule="auto"/>
        <w:rPr>
          <w:rFonts w:asciiTheme="minorHAnsi" w:hAnsiTheme="minorHAnsi" w:cs="Arial"/>
          <w:sz w:val="22"/>
          <w:szCs w:val="22"/>
          <w:lang w:val="nl-BE"/>
        </w:rPr>
      </w:pPr>
      <w:r w:rsidRPr="00621148">
        <w:rPr>
          <w:rFonts w:asciiTheme="minorHAnsi" w:hAnsiTheme="minorHAnsi" w:cs="Arial"/>
          <w:sz w:val="22"/>
          <w:szCs w:val="22"/>
          <w:lang w:val="nl-BE"/>
        </w:rPr>
        <w:t xml:space="preserve">Het vinyl dient te voldoen aan de Reach richtlijn en de </w:t>
      </w:r>
      <w:proofErr w:type="spellStart"/>
      <w:r w:rsidRPr="00621148">
        <w:rPr>
          <w:rFonts w:asciiTheme="minorHAnsi" w:hAnsiTheme="minorHAnsi" w:cs="Arial"/>
          <w:sz w:val="22"/>
          <w:szCs w:val="22"/>
          <w:lang w:val="nl-BE"/>
        </w:rPr>
        <w:t>Agbb</w:t>
      </w:r>
      <w:proofErr w:type="spellEnd"/>
      <w:r w:rsidRPr="00621148">
        <w:rPr>
          <w:rFonts w:asciiTheme="minorHAnsi" w:hAnsiTheme="minorHAnsi" w:cs="Arial"/>
          <w:sz w:val="22"/>
          <w:szCs w:val="22"/>
          <w:lang w:val="nl-BE"/>
        </w:rPr>
        <w:t>.</w:t>
      </w:r>
      <w:r>
        <w:rPr>
          <w:rFonts w:asciiTheme="minorHAnsi" w:hAnsiTheme="minorHAnsi" w:cs="Arial"/>
          <w:sz w:val="22"/>
          <w:szCs w:val="22"/>
          <w:lang w:val="nl-BE"/>
        </w:rPr>
        <w:t xml:space="preserve"> </w:t>
      </w:r>
      <w:r w:rsidRPr="00621148">
        <w:rPr>
          <w:rFonts w:asciiTheme="minorHAnsi" w:hAnsiTheme="minorHAnsi" w:cs="Arial"/>
          <w:sz w:val="22"/>
          <w:szCs w:val="22"/>
          <w:lang w:val="nl-BE"/>
        </w:rPr>
        <w:t>De fabriek die het vinyl produceert dient ISO 9001 gecertificeerd te zijn.</w:t>
      </w:r>
    </w:p>
    <w:p w:rsidR="00FD3E18" w:rsidRDefault="00FD3E18">
      <w:pPr>
        <w:widowControl/>
        <w:autoSpaceDE/>
        <w:autoSpaceDN/>
        <w:adjustRightInd/>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rsidR="00037D9B" w:rsidRDefault="00037D9B" w:rsidP="000C013A">
      <w:pPr>
        <w:pStyle w:val="TxBrp4"/>
        <w:spacing w:line="276" w:lineRule="auto"/>
        <w:rPr>
          <w:rFonts w:asciiTheme="minorHAnsi" w:hAnsiTheme="minorHAnsi" w:cs="Arial"/>
          <w:sz w:val="22"/>
          <w:szCs w:val="22"/>
          <w:u w:val="single"/>
          <w:lang w:val="nl-NL"/>
        </w:rPr>
      </w:pPr>
      <w:r w:rsidRPr="006661A5">
        <w:rPr>
          <w:rFonts w:asciiTheme="minorHAnsi" w:hAnsiTheme="minorHAnsi" w:cs="Arial"/>
          <w:sz w:val="22"/>
          <w:szCs w:val="22"/>
          <w:u w:val="single"/>
          <w:lang w:val="nl-NL"/>
        </w:rPr>
        <w:lastRenderedPageBreak/>
        <w:t>Technische eigenschappen</w:t>
      </w:r>
      <w:r w:rsidR="00C024D7" w:rsidRPr="006661A5">
        <w:rPr>
          <w:rFonts w:asciiTheme="minorHAnsi" w:hAnsiTheme="minorHAnsi" w:cs="Arial"/>
          <w:sz w:val="22"/>
          <w:szCs w:val="22"/>
          <w:u w:val="single"/>
          <w:lang w:val="nl-NL"/>
        </w:rPr>
        <w:t xml:space="preserve"> volgens EN-ISO-10582 en </w:t>
      </w:r>
      <w:proofErr w:type="spellStart"/>
      <w:r w:rsidR="00C024D7" w:rsidRPr="006661A5">
        <w:rPr>
          <w:rFonts w:asciiTheme="minorHAnsi" w:hAnsiTheme="minorHAnsi" w:cs="Arial"/>
          <w:sz w:val="22"/>
          <w:szCs w:val="22"/>
          <w:u w:val="single"/>
          <w:lang w:val="nl-NL"/>
        </w:rPr>
        <w:t>EN</w:t>
      </w:r>
      <w:proofErr w:type="spellEnd"/>
      <w:r w:rsidR="00BB3C8A">
        <w:rPr>
          <w:rFonts w:asciiTheme="minorHAnsi" w:hAnsiTheme="minorHAnsi" w:cs="Arial"/>
          <w:sz w:val="22"/>
          <w:szCs w:val="22"/>
          <w:u w:val="single"/>
          <w:lang w:val="nl-NL"/>
        </w:rPr>
        <w:t xml:space="preserve"> </w:t>
      </w:r>
      <w:r w:rsidR="001517F8">
        <w:rPr>
          <w:rFonts w:asciiTheme="minorHAnsi" w:hAnsiTheme="minorHAnsi" w:cs="Arial"/>
          <w:sz w:val="22"/>
          <w:szCs w:val="22"/>
          <w:u w:val="single"/>
          <w:lang w:val="nl-NL"/>
        </w:rPr>
        <w:t>649</w:t>
      </w:r>
    </w:p>
    <w:p w:rsidR="00C024D7" w:rsidRPr="006661A5" w:rsidRDefault="00C024D7" w:rsidP="000C013A">
      <w:pPr>
        <w:pStyle w:val="TxBrp4"/>
        <w:spacing w:line="276" w:lineRule="auto"/>
        <w:rPr>
          <w:rFonts w:asciiTheme="minorHAnsi" w:hAnsiTheme="minorHAnsi" w:cs="Arial"/>
          <w:sz w:val="22"/>
          <w:szCs w:val="22"/>
          <w:lang w:val="nl-NL"/>
        </w:rPr>
      </w:pPr>
    </w:p>
    <w:tbl>
      <w:tblPr>
        <w:tblStyle w:val="Tabelraster"/>
        <w:tblW w:w="10030" w:type="dxa"/>
        <w:tblLook w:val="04A0" w:firstRow="1" w:lastRow="0" w:firstColumn="1" w:lastColumn="0" w:noHBand="0" w:noVBand="1"/>
      </w:tblPr>
      <w:tblGrid>
        <w:gridCol w:w="3226"/>
        <w:gridCol w:w="1843"/>
        <w:gridCol w:w="4961"/>
      </w:tblGrid>
      <w:tr w:rsidR="00FD0774" w:rsidRPr="006661A5" w:rsidTr="00BB3C8A">
        <w:trPr>
          <w:trHeight w:val="283"/>
        </w:trPr>
        <w:tc>
          <w:tcPr>
            <w:tcW w:w="3226" w:type="dxa"/>
          </w:tcPr>
          <w:p w:rsidR="00FD0774" w:rsidRPr="006661A5" w:rsidRDefault="00FD0774"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Totale dikte</w:t>
            </w:r>
          </w:p>
        </w:tc>
        <w:tc>
          <w:tcPr>
            <w:tcW w:w="1843" w:type="dxa"/>
          </w:tcPr>
          <w:p w:rsidR="00FD0774" w:rsidRPr="006661A5" w:rsidRDefault="00BB3C8A"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D0774" w:rsidRPr="006661A5">
              <w:rPr>
                <w:rFonts w:asciiTheme="minorHAnsi" w:hAnsiTheme="minorHAnsi" w:cs="Arial"/>
                <w:color w:val="000000"/>
                <w:sz w:val="22"/>
                <w:szCs w:val="22"/>
                <w:lang w:val="nl-NL"/>
              </w:rPr>
              <w:t>-ISO 24346</w:t>
            </w:r>
          </w:p>
        </w:tc>
        <w:tc>
          <w:tcPr>
            <w:tcW w:w="4961" w:type="dxa"/>
          </w:tcPr>
          <w:p w:rsidR="00FD0774" w:rsidRPr="006661A5" w:rsidRDefault="00BB3C8A"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FD0774" w:rsidRPr="006661A5">
              <w:rPr>
                <w:rFonts w:asciiTheme="minorHAnsi" w:hAnsiTheme="minorHAnsi" w:cs="Arial"/>
                <w:color w:val="000000"/>
                <w:sz w:val="22"/>
                <w:szCs w:val="22"/>
                <w:lang w:val="nl-NL"/>
              </w:rPr>
              <w:t>0 mm</w:t>
            </w:r>
          </w:p>
        </w:tc>
      </w:tr>
      <w:tr w:rsidR="00FD0774" w:rsidRPr="006661A5" w:rsidTr="00BB3C8A">
        <w:trPr>
          <w:trHeight w:val="283"/>
        </w:trPr>
        <w:tc>
          <w:tcPr>
            <w:tcW w:w="3226" w:type="dxa"/>
          </w:tcPr>
          <w:p w:rsidR="00FD0774" w:rsidRPr="006661A5" w:rsidRDefault="00FD0774"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Dikte slijtlaag</w:t>
            </w:r>
          </w:p>
        </w:tc>
        <w:tc>
          <w:tcPr>
            <w:tcW w:w="1843" w:type="dxa"/>
          </w:tcPr>
          <w:p w:rsidR="00FD0774" w:rsidRPr="006661A5" w:rsidRDefault="00FD0774"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24340</w:t>
            </w:r>
          </w:p>
        </w:tc>
        <w:tc>
          <w:tcPr>
            <w:tcW w:w="4961" w:type="dxa"/>
          </w:tcPr>
          <w:p w:rsidR="00FD0774" w:rsidRPr="006661A5" w:rsidRDefault="00BB3C8A"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w:t>
            </w:r>
            <w:r w:rsidR="00FD0774" w:rsidRPr="006661A5">
              <w:rPr>
                <w:rFonts w:asciiTheme="minorHAnsi" w:hAnsiTheme="minorHAnsi" w:cs="Arial"/>
                <w:color w:val="000000"/>
                <w:sz w:val="22"/>
                <w:szCs w:val="22"/>
                <w:lang w:val="nl-NL"/>
              </w:rPr>
              <w:t>7 mm</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Collectie omvang</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p>
        </w:tc>
        <w:tc>
          <w:tcPr>
            <w:tcW w:w="4961" w:type="dxa"/>
          </w:tcPr>
          <w:p w:rsidR="008475EC"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96 items</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proofErr w:type="spellStart"/>
            <w:r w:rsidRPr="006661A5">
              <w:rPr>
                <w:rFonts w:asciiTheme="minorHAnsi" w:hAnsiTheme="minorHAnsi" w:cs="Arial"/>
                <w:sz w:val="22"/>
                <w:szCs w:val="22"/>
              </w:rPr>
              <w:t>Commercieel</w:t>
            </w:r>
            <w:proofErr w:type="spellEnd"/>
            <w:r w:rsidRPr="006661A5">
              <w:rPr>
                <w:rFonts w:asciiTheme="minorHAnsi" w:hAnsiTheme="minorHAnsi" w:cs="Arial"/>
                <w:sz w:val="22"/>
                <w:szCs w:val="22"/>
              </w:rPr>
              <w:t xml:space="preserve"> </w:t>
            </w:r>
            <w:proofErr w:type="spellStart"/>
            <w:r w:rsidRPr="006661A5">
              <w:rPr>
                <w:rFonts w:asciiTheme="minorHAnsi" w:hAnsiTheme="minorHAnsi" w:cs="Arial"/>
                <w:sz w:val="22"/>
                <w:szCs w:val="22"/>
              </w:rPr>
              <w:t>gebruik</w:t>
            </w:r>
            <w:proofErr w:type="spellEnd"/>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10874</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Klasse 34</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proofErr w:type="spellStart"/>
            <w:r w:rsidRPr="006661A5">
              <w:rPr>
                <w:rFonts w:asciiTheme="minorHAnsi" w:hAnsiTheme="minorHAnsi" w:cs="Arial"/>
                <w:sz w:val="22"/>
                <w:szCs w:val="22"/>
              </w:rPr>
              <w:t>Industrieel</w:t>
            </w:r>
            <w:proofErr w:type="spellEnd"/>
            <w:r w:rsidRPr="006661A5">
              <w:rPr>
                <w:rFonts w:asciiTheme="minorHAnsi" w:hAnsiTheme="minorHAnsi" w:cs="Arial"/>
                <w:sz w:val="22"/>
                <w:szCs w:val="22"/>
              </w:rPr>
              <w:t xml:space="preserve"> </w:t>
            </w:r>
            <w:proofErr w:type="spellStart"/>
            <w:r w:rsidRPr="006661A5">
              <w:rPr>
                <w:rFonts w:asciiTheme="minorHAnsi" w:hAnsiTheme="minorHAnsi" w:cs="Arial"/>
                <w:sz w:val="22"/>
                <w:szCs w:val="22"/>
              </w:rPr>
              <w:t>gebruik</w:t>
            </w:r>
            <w:proofErr w:type="spellEnd"/>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10874</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Klasse 43</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Rolbreedte</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24341</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2</w:t>
            </w:r>
            <w:r>
              <w:rPr>
                <w:rFonts w:asciiTheme="minorHAnsi" w:hAnsiTheme="minorHAnsi" w:cs="Arial"/>
                <w:color w:val="000000"/>
                <w:sz w:val="22"/>
                <w:szCs w:val="22"/>
                <w:lang w:val="nl-NL"/>
              </w:rPr>
              <w:t>,</w:t>
            </w:r>
            <w:r w:rsidRPr="006661A5">
              <w:rPr>
                <w:rFonts w:asciiTheme="minorHAnsi" w:hAnsiTheme="minorHAnsi" w:cs="Arial"/>
                <w:color w:val="000000"/>
                <w:sz w:val="22"/>
                <w:szCs w:val="22"/>
                <w:lang w:val="nl-NL"/>
              </w:rPr>
              <w:t>00 m</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Rollengte</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24341</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25 m</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Totaal gewicht</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23997</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ca </w:t>
            </w:r>
            <w:r w:rsidRPr="006661A5">
              <w:rPr>
                <w:rFonts w:asciiTheme="minorHAnsi" w:hAnsiTheme="minorHAnsi" w:cs="Arial"/>
                <w:color w:val="000000"/>
                <w:sz w:val="22"/>
                <w:szCs w:val="22"/>
                <w:lang w:val="nl-NL"/>
              </w:rPr>
              <w:t>2</w:t>
            </w:r>
            <w:r w:rsidR="00FD3E18">
              <w:rPr>
                <w:rFonts w:asciiTheme="minorHAnsi" w:hAnsiTheme="minorHAnsi" w:cs="Arial"/>
                <w:color w:val="000000"/>
                <w:sz w:val="22"/>
                <w:szCs w:val="22"/>
                <w:lang w:val="nl-NL"/>
              </w:rPr>
              <w:t>,</w:t>
            </w:r>
            <w:r w:rsidRPr="006661A5">
              <w:rPr>
                <w:rFonts w:asciiTheme="minorHAnsi" w:hAnsiTheme="minorHAnsi" w:cs="Arial"/>
                <w:color w:val="000000"/>
                <w:sz w:val="22"/>
                <w:szCs w:val="22"/>
                <w:lang w:val="nl-NL"/>
              </w:rPr>
              <w:t>8 kg/m²</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proofErr w:type="spellStart"/>
            <w:r w:rsidRPr="006661A5">
              <w:rPr>
                <w:rFonts w:asciiTheme="minorHAnsi" w:hAnsiTheme="minorHAnsi" w:cs="Arial"/>
                <w:sz w:val="22"/>
                <w:szCs w:val="22"/>
              </w:rPr>
              <w:t>Dimensiestabiliteit</w:t>
            </w:r>
            <w:proofErr w:type="spellEnd"/>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23999</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&lt;</w:t>
            </w:r>
            <w:r>
              <w:rPr>
                <w:rFonts w:asciiTheme="minorHAnsi" w:hAnsiTheme="minorHAnsi" w:cs="Arial"/>
                <w:color w:val="000000"/>
                <w:sz w:val="22"/>
                <w:szCs w:val="22"/>
                <w:lang w:val="nl-NL"/>
              </w:rPr>
              <w:t xml:space="preserve"> 0,</w:t>
            </w:r>
            <w:r w:rsidRPr="006661A5">
              <w:rPr>
                <w:rFonts w:asciiTheme="minorHAnsi" w:hAnsiTheme="minorHAnsi" w:cs="Arial"/>
                <w:color w:val="000000"/>
                <w:sz w:val="22"/>
                <w:szCs w:val="22"/>
                <w:lang w:val="nl-NL"/>
              </w:rPr>
              <w:t>10%</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Indrukbestendigheid</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EN-ISO 24343-1</w:t>
            </w:r>
          </w:p>
        </w:tc>
        <w:tc>
          <w:tcPr>
            <w:tcW w:w="4961" w:type="dxa"/>
          </w:tcPr>
          <w:p w:rsidR="008475EC" w:rsidRPr="006661A5" w:rsidRDefault="008475EC" w:rsidP="000C013A">
            <w:pPr>
              <w:pStyle w:val="TxBrp4"/>
              <w:spacing w:line="276" w:lineRule="auto"/>
              <w:rPr>
                <w:rFonts w:asciiTheme="minorHAnsi" w:hAnsiTheme="minorHAnsi" w:cs="Arial"/>
                <w:sz w:val="22"/>
                <w:szCs w:val="22"/>
              </w:rPr>
            </w:pPr>
            <w:r w:rsidRPr="006661A5">
              <w:rPr>
                <w:rFonts w:asciiTheme="minorHAnsi" w:hAnsiTheme="minorHAnsi" w:cs="Arial"/>
                <w:sz w:val="22"/>
                <w:szCs w:val="22"/>
              </w:rPr>
              <w:t>≤</w:t>
            </w:r>
            <w:r>
              <w:rPr>
                <w:rFonts w:asciiTheme="minorHAnsi" w:hAnsiTheme="minorHAnsi" w:cs="Arial"/>
                <w:sz w:val="22"/>
                <w:szCs w:val="22"/>
              </w:rPr>
              <w:t xml:space="preserve"> </w:t>
            </w:r>
            <w:r w:rsidRPr="006661A5">
              <w:rPr>
                <w:rFonts w:asciiTheme="minorHAnsi" w:hAnsiTheme="minorHAnsi" w:cs="Arial"/>
                <w:sz w:val="22"/>
                <w:szCs w:val="22"/>
              </w:rPr>
              <w:t xml:space="preserve">0,05 </w:t>
            </w:r>
          </w:p>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gemiddelde waarde</w:t>
            </w:r>
            <w:r w:rsidR="00FD3E18">
              <w:rPr>
                <w:rFonts w:asciiTheme="minorHAnsi" w:hAnsiTheme="minorHAnsi" w:cs="Arial"/>
                <w:color w:val="000000"/>
                <w:sz w:val="22"/>
                <w:szCs w:val="22"/>
                <w:lang w:val="nl-NL"/>
              </w:rPr>
              <w:t xml:space="preserve"> </w:t>
            </w:r>
            <w:r w:rsidRPr="006661A5">
              <w:rPr>
                <w:rFonts w:asciiTheme="minorHAnsi" w:hAnsiTheme="minorHAnsi"/>
                <w:sz w:val="22"/>
                <w:szCs w:val="22"/>
              </w:rPr>
              <w:t>~</w:t>
            </w:r>
            <w:r w:rsidRPr="006661A5">
              <w:rPr>
                <w:rFonts w:asciiTheme="minorHAnsi" w:hAnsiTheme="minorHAnsi" w:cs="Arial"/>
                <w:color w:val="000000"/>
                <w:sz w:val="22"/>
                <w:szCs w:val="22"/>
                <w:lang w:val="nl-NL"/>
              </w:rPr>
              <w:t>0,0</w:t>
            </w:r>
            <w:r>
              <w:rPr>
                <w:rFonts w:asciiTheme="minorHAnsi" w:hAnsiTheme="minorHAnsi" w:cs="Arial"/>
                <w:color w:val="000000"/>
                <w:sz w:val="22"/>
                <w:szCs w:val="22"/>
                <w:lang w:val="nl-NL"/>
              </w:rPr>
              <w:t>2</w:t>
            </w:r>
            <w:r w:rsidRPr="006661A5">
              <w:rPr>
                <w:rFonts w:asciiTheme="minorHAnsi" w:hAnsiTheme="minorHAnsi" w:cs="Arial"/>
                <w:color w:val="000000"/>
                <w:sz w:val="22"/>
                <w:szCs w:val="22"/>
                <w:lang w:val="nl-NL"/>
              </w:rPr>
              <w:t xml:space="preserve"> mm</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Rolstoelbestendigheid</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425/ISO</w:t>
            </w:r>
            <w:r>
              <w:rPr>
                <w:rFonts w:asciiTheme="minorHAnsi" w:hAnsiTheme="minorHAnsi" w:cs="Arial"/>
                <w:color w:val="000000"/>
                <w:sz w:val="22"/>
                <w:szCs w:val="22"/>
                <w:lang w:val="nl-NL"/>
              </w:rPr>
              <w:t xml:space="preserve"> </w:t>
            </w:r>
            <w:r w:rsidRPr="006661A5">
              <w:rPr>
                <w:rFonts w:asciiTheme="minorHAnsi" w:hAnsiTheme="minorHAnsi" w:cs="Arial"/>
                <w:color w:val="000000"/>
                <w:sz w:val="22"/>
                <w:szCs w:val="22"/>
                <w:lang w:val="nl-NL"/>
              </w:rPr>
              <w:t xml:space="preserve">4918 </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Geschikt</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Kleurechtheid</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ISO 105-B02</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6</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Flexibiliteit </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w:t>
            </w:r>
            <w:r>
              <w:rPr>
                <w:rFonts w:asciiTheme="minorHAnsi" w:hAnsiTheme="minorHAnsi" w:cs="Arial"/>
                <w:color w:val="000000"/>
                <w:sz w:val="22"/>
                <w:szCs w:val="22"/>
                <w:lang w:val="nl-NL"/>
              </w:rPr>
              <w:t xml:space="preserve"> </w:t>
            </w:r>
            <w:r w:rsidRPr="006661A5">
              <w:rPr>
                <w:rFonts w:asciiTheme="minorHAnsi" w:hAnsiTheme="minorHAnsi" w:cs="Arial"/>
                <w:color w:val="000000"/>
                <w:sz w:val="22"/>
                <w:szCs w:val="22"/>
                <w:lang w:val="nl-NL"/>
              </w:rPr>
              <w:t>24344</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ø 10 mm</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Weerstand tegen chemicaliën</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EN-ISO 26987</w:t>
            </w:r>
          </w:p>
        </w:tc>
        <w:tc>
          <w:tcPr>
            <w:tcW w:w="4961" w:type="dxa"/>
          </w:tcPr>
          <w:p w:rsidR="008475EC" w:rsidRPr="006661A5" w:rsidRDefault="008475EC" w:rsidP="000C013A">
            <w:pPr>
              <w:pStyle w:val="TxBrp4"/>
              <w:spacing w:line="276" w:lineRule="auto"/>
              <w:rPr>
                <w:rFonts w:asciiTheme="minorHAnsi" w:hAnsiTheme="minorHAnsi" w:cs="Arial"/>
                <w:sz w:val="22"/>
                <w:szCs w:val="22"/>
              </w:rPr>
            </w:pPr>
            <w:r w:rsidRPr="006661A5">
              <w:rPr>
                <w:rFonts w:asciiTheme="minorHAnsi" w:hAnsiTheme="minorHAnsi" w:cs="Arial"/>
                <w:color w:val="000000"/>
                <w:sz w:val="22"/>
                <w:szCs w:val="22"/>
                <w:lang w:val="nl-NL"/>
              </w:rPr>
              <w:t>Zeer goed</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Slipweerstand</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DIN 51130</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R10</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Geschikt voor vloerverwarming</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EN 13553</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Ja</w:t>
            </w:r>
            <w:r w:rsidR="00FD3E18">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temperatuur &lt;</w:t>
            </w:r>
            <w:r w:rsidR="00FD3E18">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27</w:t>
            </w:r>
            <w:r w:rsidR="00FD3E18">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°C</w:t>
            </w:r>
          </w:p>
        </w:tc>
      </w:tr>
      <w:tr w:rsidR="008475EC" w:rsidRPr="006661A5" w:rsidTr="00BB3C8A">
        <w:trPr>
          <w:trHeight w:val="283"/>
        </w:trPr>
        <w:tc>
          <w:tcPr>
            <w:tcW w:w="3226"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TVOC na 28 dagen</w:t>
            </w:r>
          </w:p>
        </w:tc>
        <w:tc>
          <w:tcPr>
            <w:tcW w:w="1843"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16516</w:t>
            </w:r>
          </w:p>
        </w:tc>
        <w:tc>
          <w:tcPr>
            <w:tcW w:w="4961" w:type="dxa"/>
          </w:tcPr>
          <w:p w:rsidR="008475EC" w:rsidRPr="006661A5" w:rsidRDefault="008475EC"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20</w:t>
            </w:r>
            <w:r w:rsidRPr="006661A5">
              <w:rPr>
                <w:rFonts w:asciiTheme="minorHAnsi" w:hAnsiTheme="minorHAnsi" w:cs="Arial"/>
                <w:sz w:val="22"/>
                <w:szCs w:val="22"/>
              </w:rPr>
              <w:t xml:space="preserve"> µ</w:t>
            </w:r>
            <w:r>
              <w:rPr>
                <w:rFonts w:asciiTheme="minorHAnsi" w:hAnsiTheme="minorHAnsi" w:cs="Arial"/>
                <w:sz w:val="22"/>
                <w:szCs w:val="22"/>
              </w:rPr>
              <w:t>g/m²</w:t>
            </w:r>
          </w:p>
        </w:tc>
      </w:tr>
      <w:tr w:rsidR="008475EC" w:rsidRPr="000C013A" w:rsidTr="00BB3C8A">
        <w:trPr>
          <w:trHeight w:val="283"/>
        </w:trPr>
        <w:tc>
          <w:tcPr>
            <w:tcW w:w="3226" w:type="dxa"/>
          </w:tcPr>
          <w:p w:rsidR="008475EC" w:rsidRDefault="008475EC"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Life </w:t>
            </w:r>
            <w:proofErr w:type="spellStart"/>
            <w:r>
              <w:rPr>
                <w:rFonts w:asciiTheme="minorHAnsi" w:hAnsiTheme="minorHAnsi" w:cs="Arial"/>
                <w:color w:val="000000"/>
                <w:sz w:val="22"/>
                <w:szCs w:val="22"/>
                <w:lang w:val="nl-NL"/>
              </w:rPr>
              <w:t>Cycle</w:t>
            </w:r>
            <w:proofErr w:type="spellEnd"/>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Assestment</w:t>
            </w:r>
            <w:proofErr w:type="spellEnd"/>
          </w:p>
        </w:tc>
        <w:tc>
          <w:tcPr>
            <w:tcW w:w="1843" w:type="dxa"/>
          </w:tcPr>
          <w:p w:rsidR="008475EC" w:rsidRDefault="008475EC" w:rsidP="000C013A">
            <w:pPr>
              <w:pStyle w:val="TxBrp4"/>
              <w:spacing w:line="276" w:lineRule="auto"/>
              <w:rPr>
                <w:rFonts w:asciiTheme="minorHAnsi" w:hAnsiTheme="minorHAnsi" w:cs="Arial"/>
                <w:color w:val="000000"/>
                <w:sz w:val="22"/>
                <w:szCs w:val="22"/>
                <w:lang w:val="nl-NL"/>
              </w:rPr>
            </w:pPr>
          </w:p>
        </w:tc>
        <w:tc>
          <w:tcPr>
            <w:tcW w:w="4961" w:type="dxa"/>
          </w:tcPr>
          <w:p w:rsidR="008475EC" w:rsidRPr="006661A5" w:rsidRDefault="00036650" w:rsidP="000C013A">
            <w:pPr>
              <w:pStyle w:val="TxBrp4"/>
              <w:spacing w:line="276" w:lineRule="auto"/>
              <w:rPr>
                <w:rFonts w:asciiTheme="minorHAnsi" w:hAnsiTheme="minorHAnsi" w:cs="Arial"/>
                <w:color w:val="000000"/>
                <w:sz w:val="22"/>
                <w:szCs w:val="22"/>
                <w:lang w:val="nl-NL"/>
              </w:rPr>
            </w:pPr>
            <w:r w:rsidRPr="00A762E9">
              <w:rPr>
                <w:rFonts w:ascii="Calibri" w:hAnsi="Calibri" w:cs="Arial"/>
                <w:sz w:val="22"/>
                <w:szCs w:val="22"/>
                <w:lang w:val="nl-BE"/>
              </w:rPr>
              <w:t>LCA is de basis voor het veilig stellen van de laagste milieu-impact.</w:t>
            </w:r>
          </w:p>
        </w:tc>
      </w:tr>
      <w:tr w:rsidR="008475EC" w:rsidRPr="000C013A" w:rsidTr="00BB3C8A">
        <w:trPr>
          <w:trHeight w:val="283"/>
        </w:trPr>
        <w:tc>
          <w:tcPr>
            <w:tcW w:w="3226" w:type="dxa"/>
          </w:tcPr>
          <w:p w:rsidR="008475EC" w:rsidRDefault="008475EC"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Hernieuwbare </w:t>
            </w:r>
            <w:proofErr w:type="spellStart"/>
            <w:r w:rsidR="00036650">
              <w:rPr>
                <w:rFonts w:asciiTheme="minorHAnsi" w:hAnsiTheme="minorHAnsi" w:cs="Arial"/>
                <w:color w:val="000000"/>
                <w:sz w:val="22"/>
                <w:szCs w:val="22"/>
                <w:lang w:val="nl-NL"/>
              </w:rPr>
              <w:t>electriciteit</w:t>
            </w:r>
            <w:proofErr w:type="spellEnd"/>
          </w:p>
        </w:tc>
        <w:tc>
          <w:tcPr>
            <w:tcW w:w="1843" w:type="dxa"/>
          </w:tcPr>
          <w:p w:rsidR="008475EC" w:rsidRDefault="008475EC" w:rsidP="000C013A">
            <w:pPr>
              <w:pStyle w:val="TxBrp4"/>
              <w:spacing w:line="276" w:lineRule="auto"/>
              <w:rPr>
                <w:rFonts w:asciiTheme="minorHAnsi" w:hAnsiTheme="minorHAnsi" w:cs="Arial"/>
                <w:color w:val="000000"/>
                <w:sz w:val="22"/>
                <w:szCs w:val="22"/>
                <w:lang w:val="nl-NL"/>
              </w:rPr>
            </w:pPr>
          </w:p>
        </w:tc>
        <w:tc>
          <w:tcPr>
            <w:tcW w:w="4961" w:type="dxa"/>
          </w:tcPr>
          <w:p w:rsidR="008475EC" w:rsidRPr="006661A5" w:rsidRDefault="00036650" w:rsidP="000C013A">
            <w:pPr>
              <w:pStyle w:val="TxBrp4"/>
              <w:spacing w:line="276" w:lineRule="auto"/>
              <w:rPr>
                <w:rFonts w:asciiTheme="minorHAnsi" w:hAnsiTheme="minorHAnsi" w:cs="Arial"/>
                <w:color w:val="000000"/>
                <w:sz w:val="22"/>
                <w:szCs w:val="22"/>
                <w:lang w:val="nl-NL"/>
              </w:rPr>
            </w:pPr>
            <w:r w:rsidRPr="00A762E9">
              <w:rPr>
                <w:rFonts w:ascii="Calibri" w:hAnsi="Calibri" w:cs="Arial"/>
                <w:sz w:val="22"/>
                <w:szCs w:val="22"/>
                <w:lang w:val="nl-BE"/>
              </w:rPr>
              <w:t>Productie met 100% elektriciteit van hernieuwbare bronnen.</w:t>
            </w:r>
          </w:p>
        </w:tc>
      </w:tr>
    </w:tbl>
    <w:p w:rsidR="00EA686A" w:rsidRDefault="00EA686A" w:rsidP="000C013A">
      <w:pPr>
        <w:widowControl/>
        <w:autoSpaceDE/>
        <w:autoSpaceDN/>
        <w:adjustRightInd/>
        <w:spacing w:line="276" w:lineRule="auto"/>
        <w:rPr>
          <w:rFonts w:asciiTheme="minorHAnsi" w:hAnsiTheme="minorHAnsi" w:cs="Arial"/>
          <w:sz w:val="22"/>
          <w:szCs w:val="22"/>
          <w:u w:val="single"/>
          <w:lang w:val="nl-NL"/>
        </w:rPr>
      </w:pPr>
    </w:p>
    <w:p w:rsidR="00FD3E18" w:rsidRDefault="00FD3E18" w:rsidP="000C013A">
      <w:pPr>
        <w:widowControl/>
        <w:autoSpaceDE/>
        <w:autoSpaceDN/>
        <w:adjustRightInd/>
        <w:spacing w:line="276" w:lineRule="auto"/>
        <w:rPr>
          <w:rFonts w:asciiTheme="minorHAnsi" w:hAnsiTheme="minorHAnsi" w:cs="Arial"/>
          <w:sz w:val="22"/>
          <w:szCs w:val="22"/>
          <w:u w:val="single"/>
          <w:lang w:val="nl-NL"/>
        </w:rPr>
      </w:pPr>
    </w:p>
    <w:p w:rsidR="00D01E11" w:rsidRDefault="00D01E11" w:rsidP="000C013A">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Eigenschappen volgens EN 14041</w:t>
      </w:r>
    </w:p>
    <w:p w:rsidR="0018099A" w:rsidRDefault="0018099A" w:rsidP="000C013A">
      <w:pPr>
        <w:widowControl/>
        <w:autoSpaceDE/>
        <w:autoSpaceDN/>
        <w:adjustRightInd/>
        <w:spacing w:line="276" w:lineRule="auto"/>
        <w:rPr>
          <w:rFonts w:asciiTheme="minorHAnsi" w:hAnsiTheme="minorHAnsi" w:cs="Arial"/>
          <w:sz w:val="22"/>
          <w:szCs w:val="22"/>
          <w:u w:val="single"/>
          <w:lang w:val="nl-NL"/>
        </w:rPr>
      </w:pPr>
    </w:p>
    <w:tbl>
      <w:tblPr>
        <w:tblStyle w:val="Tabelraster"/>
        <w:tblW w:w="10030" w:type="dxa"/>
        <w:tblLook w:val="04A0" w:firstRow="1" w:lastRow="0" w:firstColumn="1" w:lastColumn="0" w:noHBand="0" w:noVBand="1"/>
      </w:tblPr>
      <w:tblGrid>
        <w:gridCol w:w="3226"/>
        <w:gridCol w:w="1843"/>
        <w:gridCol w:w="4961"/>
      </w:tblGrid>
      <w:tr w:rsidR="0018099A" w:rsidRPr="006661A5" w:rsidTr="00E67D75">
        <w:trPr>
          <w:trHeight w:val="283"/>
        </w:trPr>
        <w:tc>
          <w:tcPr>
            <w:tcW w:w="3226" w:type="dxa"/>
          </w:tcPr>
          <w:p w:rsidR="0018099A" w:rsidRPr="006661A5" w:rsidRDefault="0018099A"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CE productcode</w:t>
            </w:r>
          </w:p>
        </w:tc>
        <w:tc>
          <w:tcPr>
            <w:tcW w:w="1843" w:type="dxa"/>
          </w:tcPr>
          <w:p w:rsidR="0018099A" w:rsidRPr="006661A5" w:rsidRDefault="0018099A"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961" w:type="dxa"/>
          </w:tcPr>
          <w:p w:rsidR="0018099A" w:rsidRPr="006661A5" w:rsidRDefault="0018099A" w:rsidP="000C013A">
            <w:pPr>
              <w:pStyle w:val="TxBrp4"/>
              <w:spacing w:line="276" w:lineRule="auto"/>
              <w:rPr>
                <w:rFonts w:asciiTheme="minorHAnsi" w:hAnsiTheme="minorHAnsi" w:cs="Arial"/>
                <w:sz w:val="22"/>
                <w:szCs w:val="22"/>
              </w:rPr>
            </w:pPr>
            <w:r>
              <w:rPr>
                <w:rFonts w:asciiTheme="minorHAnsi" w:hAnsiTheme="minorHAnsi" w:cs="Arial"/>
                <w:sz w:val="22"/>
                <w:szCs w:val="22"/>
              </w:rPr>
              <w:t>0200131-DoP-507</w:t>
            </w:r>
          </w:p>
        </w:tc>
      </w:tr>
      <w:tr w:rsidR="00D01E11" w:rsidRPr="006661A5" w:rsidTr="00E67D75">
        <w:trPr>
          <w:trHeight w:val="283"/>
        </w:trPr>
        <w:tc>
          <w:tcPr>
            <w:tcW w:w="3226" w:type="dxa"/>
          </w:tcPr>
          <w:p w:rsidR="00D01E11" w:rsidRPr="006661A5" w:rsidRDefault="00D01E11"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Brandveiligheid</w:t>
            </w:r>
          </w:p>
        </w:tc>
        <w:tc>
          <w:tcPr>
            <w:tcW w:w="1843" w:type="dxa"/>
          </w:tcPr>
          <w:p w:rsidR="00D01E11" w:rsidRPr="006661A5" w:rsidRDefault="00D01E11"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13501-1</w:t>
            </w:r>
          </w:p>
        </w:tc>
        <w:tc>
          <w:tcPr>
            <w:tcW w:w="4961" w:type="dxa"/>
          </w:tcPr>
          <w:p w:rsidR="00D01E11" w:rsidRPr="006661A5" w:rsidRDefault="00D01E11" w:rsidP="000C013A">
            <w:pPr>
              <w:pStyle w:val="TxBrp4"/>
              <w:spacing w:line="276" w:lineRule="auto"/>
              <w:rPr>
                <w:rFonts w:asciiTheme="minorHAnsi" w:hAnsiTheme="minorHAnsi" w:cs="Arial"/>
                <w:color w:val="000000"/>
                <w:sz w:val="22"/>
                <w:szCs w:val="22"/>
                <w:lang w:val="nl-NL"/>
              </w:rPr>
            </w:pPr>
            <w:proofErr w:type="spellStart"/>
            <w:r w:rsidRPr="006661A5">
              <w:rPr>
                <w:rFonts w:asciiTheme="minorHAnsi" w:hAnsiTheme="minorHAnsi" w:cs="Arial"/>
                <w:sz w:val="22"/>
                <w:szCs w:val="22"/>
              </w:rPr>
              <w:t>B</w:t>
            </w:r>
            <w:r w:rsidRPr="006661A5">
              <w:rPr>
                <w:rFonts w:asciiTheme="minorHAnsi" w:hAnsiTheme="minorHAnsi" w:cs="Arial"/>
                <w:sz w:val="22"/>
                <w:szCs w:val="22"/>
                <w:vertAlign w:val="subscript"/>
              </w:rPr>
              <w:t>fl</w:t>
            </w:r>
            <w:proofErr w:type="spellEnd"/>
            <w:r w:rsidRPr="006661A5">
              <w:rPr>
                <w:rFonts w:asciiTheme="minorHAnsi" w:hAnsiTheme="minorHAnsi" w:cs="Arial"/>
                <w:sz w:val="22"/>
                <w:szCs w:val="22"/>
              </w:rPr>
              <w:t xml:space="preserve"> -s1</w:t>
            </w:r>
            <w:r w:rsidR="0018099A">
              <w:rPr>
                <w:rFonts w:asciiTheme="minorHAnsi" w:hAnsiTheme="minorHAnsi" w:cs="Arial"/>
                <w:sz w:val="22"/>
                <w:szCs w:val="22"/>
              </w:rPr>
              <w:t>,L,NCS</w:t>
            </w:r>
          </w:p>
        </w:tc>
      </w:tr>
      <w:tr w:rsidR="0018099A" w:rsidRPr="006661A5" w:rsidTr="00E67D75">
        <w:trPr>
          <w:trHeight w:val="283"/>
        </w:trPr>
        <w:tc>
          <w:tcPr>
            <w:tcW w:w="3226" w:type="dxa"/>
          </w:tcPr>
          <w:p w:rsidR="0018099A" w:rsidRPr="006661A5" w:rsidRDefault="0018099A"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Slipweerstand</w:t>
            </w:r>
          </w:p>
        </w:tc>
        <w:tc>
          <w:tcPr>
            <w:tcW w:w="1843" w:type="dxa"/>
          </w:tcPr>
          <w:p w:rsidR="0018099A" w:rsidRPr="006661A5" w:rsidRDefault="0018099A"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EN</w:t>
            </w:r>
            <w:r w:rsidRPr="006661A5">
              <w:rPr>
                <w:rFonts w:asciiTheme="minorHAnsi" w:hAnsiTheme="minorHAnsi"/>
                <w:sz w:val="22"/>
                <w:szCs w:val="22"/>
              </w:rPr>
              <w:t xml:space="preserve"> </w:t>
            </w:r>
            <w:r w:rsidRPr="006661A5">
              <w:rPr>
                <w:rFonts w:asciiTheme="minorHAnsi" w:hAnsiTheme="minorHAnsi" w:cs="Arial"/>
                <w:sz w:val="22"/>
                <w:szCs w:val="22"/>
              </w:rPr>
              <w:t>13893</w:t>
            </w:r>
          </w:p>
        </w:tc>
        <w:tc>
          <w:tcPr>
            <w:tcW w:w="4961" w:type="dxa"/>
          </w:tcPr>
          <w:p w:rsidR="0018099A" w:rsidRPr="006661A5" w:rsidRDefault="0018099A" w:rsidP="000C013A">
            <w:pPr>
              <w:pStyle w:val="TxBrp4"/>
              <w:spacing w:line="276" w:lineRule="auto"/>
              <w:rPr>
                <w:rFonts w:asciiTheme="minorHAnsi" w:hAnsiTheme="minorHAnsi" w:cs="Arial"/>
                <w:sz w:val="22"/>
                <w:szCs w:val="22"/>
              </w:rPr>
            </w:pPr>
            <w:r w:rsidRPr="006661A5">
              <w:rPr>
                <w:rFonts w:asciiTheme="minorHAnsi" w:hAnsiTheme="minorHAnsi" w:cs="Arial"/>
                <w:sz w:val="22"/>
                <w:szCs w:val="22"/>
              </w:rPr>
              <w:t>µ ≥ 0,30</w:t>
            </w:r>
          </w:p>
        </w:tc>
      </w:tr>
      <w:tr w:rsidR="00D01E11" w:rsidRPr="006661A5" w:rsidTr="00E67D75">
        <w:trPr>
          <w:trHeight w:val="283"/>
        </w:trPr>
        <w:tc>
          <w:tcPr>
            <w:tcW w:w="3226" w:type="dxa"/>
          </w:tcPr>
          <w:p w:rsidR="00D01E11" w:rsidRPr="006661A5" w:rsidRDefault="00D01E11"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Statische elektriciteit</w:t>
            </w:r>
          </w:p>
        </w:tc>
        <w:tc>
          <w:tcPr>
            <w:tcW w:w="1843" w:type="dxa"/>
          </w:tcPr>
          <w:p w:rsidR="00D01E11" w:rsidRPr="006661A5" w:rsidRDefault="00D01E11"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1815</w:t>
            </w:r>
          </w:p>
        </w:tc>
        <w:tc>
          <w:tcPr>
            <w:tcW w:w="4961" w:type="dxa"/>
          </w:tcPr>
          <w:p w:rsidR="00D01E11" w:rsidRPr="006661A5" w:rsidRDefault="00D01E11"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2 kV</w:t>
            </w:r>
          </w:p>
        </w:tc>
      </w:tr>
      <w:tr w:rsidR="00D01E11" w:rsidRPr="006661A5" w:rsidTr="00E67D75">
        <w:trPr>
          <w:trHeight w:val="283"/>
        </w:trPr>
        <w:tc>
          <w:tcPr>
            <w:tcW w:w="3226" w:type="dxa"/>
          </w:tcPr>
          <w:p w:rsidR="00D01E11" w:rsidRPr="006661A5" w:rsidRDefault="00D01E11"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Warmtegeleidingscoëfficiënt</w:t>
            </w:r>
          </w:p>
        </w:tc>
        <w:tc>
          <w:tcPr>
            <w:tcW w:w="1843" w:type="dxa"/>
          </w:tcPr>
          <w:p w:rsidR="00D01E11" w:rsidRPr="006661A5" w:rsidRDefault="00D01E11" w:rsidP="000C013A">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12524</w:t>
            </w:r>
          </w:p>
        </w:tc>
        <w:tc>
          <w:tcPr>
            <w:tcW w:w="4961" w:type="dxa"/>
          </w:tcPr>
          <w:p w:rsidR="00D01E11" w:rsidRPr="006661A5" w:rsidRDefault="00A84736" w:rsidP="000C013A">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0,25W/</w:t>
            </w:r>
            <w:proofErr w:type="spellStart"/>
            <w:r>
              <w:rPr>
                <w:rFonts w:asciiTheme="minorHAnsi" w:hAnsiTheme="minorHAnsi" w:cs="Arial"/>
                <w:color w:val="000000"/>
                <w:sz w:val="22"/>
                <w:szCs w:val="22"/>
                <w:lang w:val="nl-NL"/>
              </w:rPr>
              <w:t>mK</w:t>
            </w:r>
            <w:proofErr w:type="spellEnd"/>
          </w:p>
        </w:tc>
      </w:tr>
    </w:tbl>
    <w:p w:rsidR="00BB3C8A" w:rsidRPr="006661A5" w:rsidRDefault="00BB3C8A" w:rsidP="000C013A">
      <w:pPr>
        <w:widowControl/>
        <w:autoSpaceDE/>
        <w:autoSpaceDN/>
        <w:adjustRightInd/>
        <w:spacing w:line="276" w:lineRule="auto"/>
        <w:rPr>
          <w:rFonts w:asciiTheme="minorHAnsi" w:hAnsiTheme="minorHAnsi" w:cs="Arial"/>
          <w:sz w:val="22"/>
          <w:szCs w:val="22"/>
          <w:u w:val="single"/>
          <w:lang w:val="nl-NL"/>
        </w:rPr>
      </w:pPr>
    </w:p>
    <w:p w:rsidR="00FD3E18" w:rsidRDefault="00FD3E18">
      <w:pPr>
        <w:widowControl/>
        <w:autoSpaceDE/>
        <w:autoSpaceDN/>
        <w:adjustRightInd/>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rsidR="00EA686A" w:rsidRPr="006661A5" w:rsidRDefault="00EA686A" w:rsidP="000C013A">
      <w:pPr>
        <w:widowControl/>
        <w:autoSpaceDE/>
        <w:autoSpaceDN/>
        <w:adjustRightInd/>
        <w:spacing w:line="276" w:lineRule="auto"/>
        <w:rPr>
          <w:rFonts w:asciiTheme="minorHAnsi" w:hAnsiTheme="minorHAnsi" w:cs="Arial"/>
          <w:sz w:val="22"/>
          <w:szCs w:val="22"/>
          <w:u w:val="single"/>
          <w:lang w:val="nl-NL"/>
        </w:rPr>
      </w:pPr>
      <w:r w:rsidRPr="006661A5">
        <w:rPr>
          <w:rFonts w:asciiTheme="minorHAnsi" w:hAnsiTheme="minorHAnsi" w:cs="Arial"/>
          <w:sz w:val="22"/>
          <w:szCs w:val="22"/>
          <w:u w:val="single"/>
          <w:lang w:val="nl-NL"/>
        </w:rPr>
        <w:lastRenderedPageBreak/>
        <w:t xml:space="preserve">Uitvoering en </w:t>
      </w:r>
      <w:r w:rsidR="00BB3C8A">
        <w:rPr>
          <w:rFonts w:asciiTheme="minorHAnsi" w:hAnsiTheme="minorHAnsi" w:cs="Arial"/>
          <w:sz w:val="22"/>
          <w:szCs w:val="22"/>
          <w:u w:val="single"/>
          <w:lang w:val="nl-NL"/>
        </w:rPr>
        <w:t>p</w:t>
      </w:r>
      <w:r w:rsidRPr="006661A5">
        <w:rPr>
          <w:rFonts w:asciiTheme="minorHAnsi" w:hAnsiTheme="minorHAnsi" w:cs="Arial"/>
          <w:sz w:val="22"/>
          <w:szCs w:val="22"/>
          <w:u w:val="single"/>
          <w:lang w:val="nl-NL"/>
        </w:rPr>
        <w:t>laatsing</w:t>
      </w:r>
    </w:p>
    <w:p w:rsidR="00BB3C8A" w:rsidRDefault="00BB3C8A" w:rsidP="000C013A">
      <w:pPr>
        <w:pStyle w:val="TxBrp4"/>
        <w:spacing w:line="276" w:lineRule="auto"/>
        <w:rPr>
          <w:rFonts w:asciiTheme="minorHAnsi" w:hAnsiTheme="minorHAnsi" w:cs="Arial"/>
          <w:iCs/>
          <w:color w:val="000000"/>
          <w:sz w:val="22"/>
          <w:szCs w:val="22"/>
          <w:lang w:val="nl-NL"/>
        </w:rPr>
      </w:pPr>
    </w:p>
    <w:p w:rsidR="00BB3C8A" w:rsidRDefault="00EA686A" w:rsidP="000C013A">
      <w:pPr>
        <w:pStyle w:val="TxBrp4"/>
        <w:spacing w:line="240" w:lineRule="auto"/>
        <w:rPr>
          <w:rFonts w:asciiTheme="minorHAnsi" w:hAnsiTheme="minorHAnsi" w:cs="Arial"/>
          <w:iCs/>
          <w:color w:val="000000"/>
          <w:sz w:val="22"/>
          <w:szCs w:val="22"/>
          <w:lang w:val="nl-NL"/>
        </w:rPr>
      </w:pPr>
      <w:r w:rsidRPr="006661A5">
        <w:rPr>
          <w:rFonts w:asciiTheme="minorHAnsi" w:hAnsiTheme="minorHAnsi" w:cs="Arial"/>
          <w:iCs/>
          <w:color w:val="000000"/>
          <w:sz w:val="22"/>
          <w:szCs w:val="22"/>
          <w:lang w:val="nl-NL"/>
        </w:rPr>
        <w:t xml:space="preserve">De plaatsing van het vinyl </w:t>
      </w:r>
      <w:r w:rsidR="00BB3C8A" w:rsidRPr="00621148">
        <w:rPr>
          <w:rFonts w:asciiTheme="minorHAnsi" w:hAnsiTheme="minorHAnsi" w:cs="Arial"/>
          <w:iCs/>
          <w:color w:val="000000"/>
          <w:sz w:val="22"/>
          <w:szCs w:val="22"/>
          <w:lang w:val="nl-NL"/>
        </w:rPr>
        <w:t>beantwoordt aan de leidraad TV 241, hoofdstuk 7, voor de goede uitvoering van soepele vloerbekleding van het WTCB.</w:t>
      </w:r>
    </w:p>
    <w:p w:rsidR="00BB3C8A" w:rsidRPr="00621148" w:rsidRDefault="00BB3C8A" w:rsidP="000C013A">
      <w:pPr>
        <w:pStyle w:val="TxBrp4"/>
        <w:spacing w:line="240" w:lineRule="auto"/>
        <w:rPr>
          <w:rFonts w:asciiTheme="minorHAnsi" w:hAnsiTheme="minorHAnsi" w:cs="Arial"/>
          <w:iCs/>
          <w:color w:val="000000"/>
          <w:sz w:val="22"/>
          <w:szCs w:val="22"/>
          <w:lang w:val="nl-NL"/>
        </w:rPr>
      </w:pPr>
    </w:p>
    <w:p w:rsidR="00D70600" w:rsidRDefault="00D70600" w:rsidP="000C013A">
      <w:pPr>
        <w:pStyle w:val="TxBrp4"/>
        <w:spacing w:line="240" w:lineRule="auto"/>
        <w:rPr>
          <w:rFonts w:ascii="Calibri" w:hAnsi="Calibri" w:cs="Arial"/>
          <w:sz w:val="22"/>
          <w:szCs w:val="22"/>
          <w:lang w:val="nl-NL"/>
        </w:rPr>
      </w:pPr>
      <w:r>
        <w:rPr>
          <w:rFonts w:ascii="Calibri" w:hAnsi="Calibri" w:cs="Arial"/>
          <w:sz w:val="22"/>
          <w:szCs w:val="22"/>
          <w:lang w:val="nl-NL"/>
        </w:rPr>
        <w:t>De bouwheer voorziet een ruimte om de rollen vinyl verticaal te stockeren in een droog en verlucht lokaal waar de temperatuur minstens 17 °C bedraagt.</w:t>
      </w:r>
    </w:p>
    <w:p w:rsidR="00BB3C8A" w:rsidRPr="00621148" w:rsidRDefault="00BB3C8A" w:rsidP="000C013A">
      <w:pPr>
        <w:rPr>
          <w:rFonts w:asciiTheme="minorHAnsi" w:eastAsia="MS Mincho" w:hAnsiTheme="minorHAnsi" w:cs="Arial"/>
          <w:sz w:val="22"/>
          <w:szCs w:val="22"/>
          <w:lang w:val="nl-NL" w:eastAsia="ja-JP"/>
        </w:rPr>
      </w:pPr>
    </w:p>
    <w:p w:rsidR="00BB3C8A" w:rsidRDefault="00BB3C8A" w:rsidP="000C013A">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Indien de temperatuur lager dan 15</w:t>
      </w:r>
      <w:r w:rsidR="00FD3E18">
        <w:rPr>
          <w:rFonts w:asciiTheme="minorHAnsi" w:hAnsiTheme="minorHAnsi" w:cs="Arial"/>
          <w:sz w:val="22"/>
          <w:szCs w:val="22"/>
          <w:lang w:val="nl-NL"/>
        </w:rPr>
        <w:t xml:space="preserve"> </w:t>
      </w:r>
      <w:r w:rsidRPr="00621148">
        <w:rPr>
          <w:rFonts w:asciiTheme="minorHAnsi" w:hAnsiTheme="minorHAnsi" w:cs="Arial"/>
          <w:sz w:val="22"/>
          <w:szCs w:val="22"/>
          <w:lang w:val="nl-NL"/>
        </w:rPr>
        <w:t>°C is, mag de vloerbekleding niet geplaatst worden. Zorg voor een minimale vloertemperatuur van 15</w:t>
      </w:r>
      <w:r>
        <w:rPr>
          <w:rFonts w:asciiTheme="minorHAnsi" w:hAnsiTheme="minorHAnsi" w:cs="Arial"/>
          <w:sz w:val="22"/>
          <w:szCs w:val="22"/>
          <w:lang w:val="nl-NL"/>
        </w:rPr>
        <w:t xml:space="preserve"> </w:t>
      </w:r>
      <w:r w:rsidRPr="00621148">
        <w:rPr>
          <w:rFonts w:asciiTheme="minorHAnsi" w:hAnsiTheme="minorHAnsi" w:cs="Arial"/>
          <w:sz w:val="22"/>
          <w:szCs w:val="22"/>
          <w:lang w:val="nl-NL"/>
        </w:rPr>
        <w:t xml:space="preserve">°C en een relatieve luchtvochtigheid van maximaal 75%, bij het egaliseren en het verlijmen. De ondervloer moet conform de WTCB adviezen zijn, te weten TV 189 en TV 193 en volledig vrij zijn om de werkzaamheden te kunnen starten. </w:t>
      </w:r>
    </w:p>
    <w:p w:rsidR="00EA686A" w:rsidRPr="006661A5" w:rsidRDefault="00EA686A" w:rsidP="000C013A">
      <w:pPr>
        <w:pStyle w:val="TxBrp4"/>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plaatsing van de vinyl omvat eveneens:</w:t>
      </w:r>
    </w:p>
    <w:p w:rsidR="00EA686A" w:rsidRPr="006661A5" w:rsidRDefault="00EA686A" w:rsidP="000C013A">
      <w:pPr>
        <w:pStyle w:val="TxBrp6"/>
        <w:numPr>
          <w:ilvl w:val="0"/>
          <w:numId w:val="13"/>
        </w:numPr>
        <w:tabs>
          <w:tab w:val="left" w:pos="323"/>
        </w:tabs>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herstellen van zandcement dekv</w:t>
      </w:r>
      <w:r w:rsidR="00B34EF2">
        <w:rPr>
          <w:rFonts w:asciiTheme="minorHAnsi" w:hAnsiTheme="minorHAnsi" w:cs="Arial"/>
          <w:sz w:val="22"/>
          <w:szCs w:val="22"/>
          <w:lang w:val="nl-NL"/>
        </w:rPr>
        <w:t>loeren met aangepaste reparatie</w:t>
      </w:r>
      <w:r w:rsidRPr="006661A5">
        <w:rPr>
          <w:rFonts w:asciiTheme="minorHAnsi" w:hAnsiTheme="minorHAnsi" w:cs="Arial"/>
          <w:sz w:val="22"/>
          <w:szCs w:val="22"/>
          <w:lang w:val="nl-NL"/>
        </w:rPr>
        <w:t>mortels met een drukvastheid van ≥ 30 N/mm</w:t>
      </w:r>
      <w:r w:rsidRPr="006661A5">
        <w:rPr>
          <w:rFonts w:asciiTheme="minorHAnsi" w:hAnsiTheme="minorHAnsi" w:cs="Arial"/>
          <w:sz w:val="22"/>
          <w:szCs w:val="22"/>
          <w:vertAlign w:val="superscript"/>
          <w:lang w:val="nl-NL"/>
        </w:rPr>
        <w:t xml:space="preserve">2 </w:t>
      </w:r>
      <w:r w:rsidRPr="006661A5">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sidR="00B34EF2">
        <w:rPr>
          <w:rFonts w:asciiTheme="minorHAnsi" w:hAnsiTheme="minorHAnsi" w:cs="Arial"/>
          <w:sz w:val="22"/>
          <w:szCs w:val="22"/>
          <w:lang w:val="nl-NL"/>
        </w:rPr>
        <w:t xml:space="preserve"> label “</w:t>
      </w:r>
      <w:r w:rsidRPr="006661A5">
        <w:rPr>
          <w:rFonts w:asciiTheme="minorHAnsi" w:hAnsiTheme="minorHAnsi" w:cs="Arial"/>
          <w:sz w:val="22"/>
          <w:szCs w:val="22"/>
          <w:lang w:val="nl-NL"/>
        </w:rPr>
        <w:t>90% minder stof</w:t>
      </w:r>
      <w:r w:rsidR="00B34EF2">
        <w:rPr>
          <w:rFonts w:asciiTheme="minorHAnsi" w:hAnsiTheme="minorHAnsi" w:cs="Arial"/>
          <w:sz w:val="22"/>
          <w:szCs w:val="22"/>
          <w:lang w:val="nl-NL"/>
        </w:rPr>
        <w:t>”</w:t>
      </w:r>
      <w:r w:rsidRPr="006661A5">
        <w:rPr>
          <w:rFonts w:asciiTheme="minorHAnsi" w:hAnsiTheme="minorHAnsi" w:cs="Arial"/>
          <w:sz w:val="22"/>
          <w:szCs w:val="22"/>
          <w:lang w:val="nl-NL"/>
        </w:rPr>
        <w:t xml:space="preserve"> te hebben.</w:t>
      </w:r>
    </w:p>
    <w:p w:rsidR="00EA686A" w:rsidRPr="006661A5" w:rsidRDefault="00EA686A" w:rsidP="000C013A">
      <w:pPr>
        <w:pStyle w:val="TxBrp6"/>
        <w:numPr>
          <w:ilvl w:val="0"/>
          <w:numId w:val="13"/>
        </w:numPr>
        <w:tabs>
          <w:tab w:val="left" w:pos="323"/>
        </w:tabs>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herstellen van </w:t>
      </w:r>
      <w:proofErr w:type="spellStart"/>
      <w:r w:rsidRPr="006661A5">
        <w:rPr>
          <w:rFonts w:asciiTheme="minorHAnsi" w:hAnsiTheme="minorHAnsi" w:cs="Arial"/>
          <w:sz w:val="22"/>
          <w:szCs w:val="22"/>
          <w:lang w:val="nl-NL"/>
        </w:rPr>
        <w:t>anhydriet</w:t>
      </w:r>
      <w:proofErr w:type="spellEnd"/>
      <w:r w:rsidRPr="006661A5">
        <w:rPr>
          <w:rFonts w:asciiTheme="minorHAnsi" w:hAnsiTheme="minorHAnsi" w:cs="Arial"/>
          <w:sz w:val="22"/>
          <w:szCs w:val="22"/>
          <w:lang w:val="nl-NL"/>
        </w:rPr>
        <w:t xml:space="preserve"> dekvloeren met aangepaste reparatiemortels op basis van Calciumsulfaat-</w:t>
      </w:r>
      <w:proofErr w:type="spellStart"/>
      <w:r w:rsidRPr="006661A5">
        <w:rPr>
          <w:rFonts w:asciiTheme="minorHAnsi" w:hAnsiTheme="minorHAnsi" w:cs="Arial"/>
          <w:sz w:val="22"/>
          <w:szCs w:val="22"/>
          <w:lang w:val="nl-NL"/>
        </w:rPr>
        <w:t>Alpha</w:t>
      </w:r>
      <w:proofErr w:type="spellEnd"/>
      <w:r w:rsidRPr="006661A5">
        <w:rPr>
          <w:rFonts w:asciiTheme="minorHAnsi" w:hAnsiTheme="minorHAnsi" w:cs="Arial"/>
          <w:sz w:val="22"/>
          <w:szCs w:val="22"/>
          <w:lang w:val="nl-NL"/>
        </w:rPr>
        <w:t>-</w:t>
      </w:r>
      <w:proofErr w:type="spellStart"/>
      <w:r w:rsidRPr="006661A5">
        <w:rPr>
          <w:rFonts w:asciiTheme="minorHAnsi" w:hAnsiTheme="minorHAnsi" w:cs="Arial"/>
          <w:sz w:val="22"/>
          <w:szCs w:val="22"/>
          <w:lang w:val="nl-NL"/>
        </w:rPr>
        <w:t>Halfhydraat</w:t>
      </w:r>
      <w:proofErr w:type="spellEnd"/>
      <w:r w:rsidRPr="006661A5">
        <w:rPr>
          <w:rFonts w:asciiTheme="minorHAnsi" w:hAnsiTheme="minorHAnsi" w:cs="Arial"/>
          <w:sz w:val="22"/>
          <w:szCs w:val="22"/>
          <w:lang w:val="nl-NL"/>
        </w:rPr>
        <w:t xml:space="preserve"> met een drukvastheid van &gt; 20,0 </w:t>
      </w:r>
      <w:r w:rsidR="00B34EF2">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8,0 </w:t>
      </w:r>
      <w:r w:rsidR="00B34EF2">
        <w:rPr>
          <w:rFonts w:asciiTheme="minorHAnsi" w:hAnsiTheme="minorHAnsi" w:cs="Arial"/>
          <w:sz w:val="22"/>
          <w:szCs w:val="22"/>
          <w:lang w:val="nl-NL"/>
        </w:rPr>
        <w:t>N</w:t>
      </w:r>
      <w:r w:rsidRPr="006661A5">
        <w:rPr>
          <w:rFonts w:asciiTheme="minorHAnsi" w:hAnsiTheme="minorHAnsi" w:cs="Arial"/>
          <w:sz w:val="22"/>
          <w:szCs w:val="22"/>
          <w:lang w:val="nl-NL"/>
        </w:rPr>
        <w:t>/mm² volgens NEN-EN 13892-2:2002 na 28 dagen, toe te passen bij navraag aan de fabrikant tevens het label EC1+ alsook het</w:t>
      </w:r>
      <w:r w:rsidR="00B34EF2">
        <w:rPr>
          <w:rFonts w:asciiTheme="minorHAnsi" w:hAnsiTheme="minorHAnsi" w:cs="Arial"/>
          <w:sz w:val="22"/>
          <w:szCs w:val="22"/>
          <w:lang w:val="nl-NL"/>
        </w:rPr>
        <w:t xml:space="preserve"> label</w:t>
      </w:r>
      <w:r w:rsidRPr="006661A5">
        <w:rPr>
          <w:rFonts w:asciiTheme="minorHAnsi" w:hAnsiTheme="minorHAnsi" w:cs="Arial"/>
          <w:sz w:val="22"/>
          <w:szCs w:val="22"/>
          <w:lang w:val="nl-NL"/>
        </w:rPr>
        <w:t xml:space="preserve"> </w:t>
      </w:r>
      <w:r w:rsidR="00B34EF2">
        <w:rPr>
          <w:rFonts w:asciiTheme="minorHAnsi" w:hAnsiTheme="minorHAnsi" w:cs="Arial"/>
          <w:sz w:val="22"/>
          <w:szCs w:val="22"/>
          <w:lang w:val="nl-NL"/>
        </w:rPr>
        <w:t>“</w:t>
      </w:r>
      <w:r w:rsidRPr="006661A5">
        <w:rPr>
          <w:rFonts w:asciiTheme="minorHAnsi" w:hAnsiTheme="minorHAnsi" w:cs="Arial"/>
          <w:sz w:val="22"/>
          <w:szCs w:val="22"/>
          <w:lang w:val="nl-NL"/>
        </w:rPr>
        <w:t>90% minder stof</w:t>
      </w:r>
      <w:r w:rsidR="00B34EF2">
        <w:rPr>
          <w:rFonts w:asciiTheme="minorHAnsi" w:hAnsiTheme="minorHAnsi" w:cs="Arial"/>
          <w:sz w:val="22"/>
          <w:szCs w:val="22"/>
          <w:lang w:val="nl-NL"/>
        </w:rPr>
        <w:t xml:space="preserve">” </w:t>
      </w:r>
      <w:r w:rsidRPr="006661A5">
        <w:rPr>
          <w:rFonts w:asciiTheme="minorHAnsi" w:hAnsiTheme="minorHAnsi" w:cs="Arial"/>
          <w:sz w:val="22"/>
          <w:szCs w:val="22"/>
          <w:lang w:val="nl-NL"/>
        </w:rPr>
        <w:t>te hebben.</w:t>
      </w:r>
    </w:p>
    <w:p w:rsidR="00EA686A" w:rsidRPr="006661A5" w:rsidRDefault="00EA686A" w:rsidP="000C013A">
      <w:pPr>
        <w:pStyle w:val="TxBrp6"/>
        <w:numPr>
          <w:ilvl w:val="0"/>
          <w:numId w:val="13"/>
        </w:numPr>
        <w:tabs>
          <w:tab w:val="left" w:pos="323"/>
        </w:tabs>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maximaal toegelaten vochtgehalte is 2,0% voor cementgebonden dekvloeren en 0,5% voor </w:t>
      </w:r>
      <w:proofErr w:type="spellStart"/>
      <w:r w:rsidRPr="006661A5">
        <w:rPr>
          <w:rFonts w:asciiTheme="minorHAnsi" w:hAnsiTheme="minorHAnsi" w:cs="Arial"/>
          <w:sz w:val="22"/>
          <w:szCs w:val="22"/>
          <w:lang w:val="nl-NL"/>
        </w:rPr>
        <w:t>anhydriet</w:t>
      </w:r>
      <w:proofErr w:type="spellEnd"/>
      <w:r w:rsidR="00B34EF2">
        <w:rPr>
          <w:rFonts w:asciiTheme="minorHAnsi" w:hAnsiTheme="minorHAnsi" w:cs="Arial"/>
          <w:sz w:val="22"/>
          <w:szCs w:val="22"/>
          <w:lang w:val="nl-NL"/>
        </w:rPr>
        <w:t xml:space="preserve"> </w:t>
      </w:r>
      <w:r w:rsidRPr="006661A5">
        <w:rPr>
          <w:rFonts w:asciiTheme="minorHAnsi" w:hAnsiTheme="minorHAnsi" w:cs="Arial"/>
          <w:sz w:val="22"/>
          <w:szCs w:val="22"/>
          <w:lang w:val="nl-NL"/>
        </w:rPr>
        <w:t>dekvloeren.</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Bij het gebruik van vloerverwarming is het max</w:t>
      </w:r>
      <w:r w:rsidR="006661A5">
        <w:rPr>
          <w:rFonts w:asciiTheme="minorHAnsi" w:hAnsiTheme="minorHAnsi" w:cs="Arial"/>
          <w:sz w:val="22"/>
          <w:szCs w:val="22"/>
          <w:lang w:val="nl-NL"/>
        </w:rPr>
        <w:t>imaal toegelaten vochtgehalte</w:t>
      </w:r>
      <w:r w:rsidRPr="006661A5">
        <w:rPr>
          <w:rFonts w:asciiTheme="minorHAnsi" w:hAnsiTheme="minorHAnsi" w:cs="Arial"/>
          <w:sz w:val="22"/>
          <w:szCs w:val="22"/>
          <w:lang w:val="nl-NL"/>
        </w:rPr>
        <w:t xml:space="preserve"> 1,8% voor cementgebonden dekvloeren en 0,3% voor </w:t>
      </w:r>
      <w:proofErr w:type="spellStart"/>
      <w:r w:rsidRPr="006661A5">
        <w:rPr>
          <w:rFonts w:asciiTheme="minorHAnsi" w:hAnsiTheme="minorHAnsi" w:cs="Arial"/>
          <w:sz w:val="22"/>
          <w:szCs w:val="22"/>
          <w:lang w:val="nl-NL"/>
        </w:rPr>
        <w:t>anhydriet</w:t>
      </w:r>
      <w:proofErr w:type="spellEnd"/>
      <w:r w:rsidR="00B34EF2">
        <w:rPr>
          <w:rFonts w:asciiTheme="minorHAnsi" w:hAnsiTheme="minorHAnsi" w:cs="Arial"/>
          <w:sz w:val="22"/>
          <w:szCs w:val="22"/>
          <w:lang w:val="nl-NL"/>
        </w:rPr>
        <w:t xml:space="preserve"> </w:t>
      </w:r>
      <w:r w:rsidRPr="006661A5">
        <w:rPr>
          <w:rFonts w:asciiTheme="minorHAnsi" w:hAnsiTheme="minorHAnsi" w:cs="Arial"/>
          <w:sz w:val="22"/>
          <w:szCs w:val="22"/>
          <w:lang w:val="nl-NL"/>
        </w:rPr>
        <w:t>dekvloeren.</w:t>
      </w:r>
    </w:p>
    <w:p w:rsidR="00EA686A" w:rsidRPr="006661A5" w:rsidRDefault="00EA686A" w:rsidP="000C013A">
      <w:pPr>
        <w:pStyle w:val="TxBrp4"/>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sidR="00B34EF2">
        <w:rPr>
          <w:rFonts w:asciiTheme="minorHAnsi" w:hAnsiTheme="minorHAnsi" w:cs="Arial"/>
          <w:sz w:val="22"/>
          <w:szCs w:val="22"/>
          <w:lang w:val="nl-NL"/>
        </w:rPr>
        <w:t xml:space="preserve"> </w:t>
      </w:r>
      <w:r w:rsidRPr="006661A5">
        <w:rPr>
          <w:rFonts w:asciiTheme="minorHAnsi" w:hAnsiTheme="minorHAnsi" w:cs="Arial"/>
          <w:sz w:val="22"/>
          <w:szCs w:val="22"/>
          <w:lang w:val="nl-NL"/>
        </w:rPr>
        <w:t>Een dag voor het egaliseren de verwarming uitschakelen;</w:t>
      </w:r>
      <w:r w:rsidR="006661A5">
        <w:rPr>
          <w:rFonts w:asciiTheme="minorHAnsi" w:hAnsiTheme="minorHAnsi" w:cs="Arial"/>
          <w:sz w:val="22"/>
          <w:szCs w:val="22"/>
          <w:lang w:val="nl-NL"/>
        </w:rPr>
        <w:t xml:space="preserve"> </w:t>
      </w:r>
      <w:r w:rsidRPr="006661A5">
        <w:rPr>
          <w:rFonts w:asciiTheme="minorHAnsi" w:hAnsiTheme="minorHAnsi" w:cs="Arial"/>
          <w:sz w:val="22"/>
          <w:szCs w:val="22"/>
          <w:lang w:val="nl-NL"/>
        </w:rPr>
        <w:t>minimaal 24 uur na het plaatsen van de vloerbekleding de verwarming weer inschakelen,</w:t>
      </w:r>
      <w:r w:rsidR="006661A5">
        <w:rPr>
          <w:rFonts w:asciiTheme="minorHAnsi" w:hAnsiTheme="minorHAnsi" w:cs="Arial"/>
          <w:sz w:val="22"/>
          <w:szCs w:val="22"/>
          <w:lang w:val="nl-NL"/>
        </w:rPr>
        <w:t xml:space="preserve"> </w:t>
      </w:r>
      <w:r w:rsidRPr="006661A5">
        <w:rPr>
          <w:rFonts w:asciiTheme="minorHAnsi" w:hAnsiTheme="minorHAnsi" w:cs="Arial"/>
          <w:sz w:val="22"/>
          <w:szCs w:val="22"/>
          <w:lang w:val="nl-NL"/>
        </w:rPr>
        <w:t>in stappen van maximaal 5</w:t>
      </w:r>
      <w:r w:rsidR="00B34EF2">
        <w:rPr>
          <w:rFonts w:asciiTheme="minorHAnsi" w:hAnsiTheme="minorHAnsi" w:cs="Arial"/>
          <w:sz w:val="22"/>
          <w:szCs w:val="22"/>
          <w:lang w:val="nl-NL"/>
        </w:rPr>
        <w:t xml:space="preserve"> </w:t>
      </w:r>
      <w:r w:rsidRPr="006661A5">
        <w:rPr>
          <w:rFonts w:asciiTheme="minorHAnsi" w:hAnsiTheme="minorHAnsi" w:cs="Arial"/>
          <w:sz w:val="22"/>
          <w:szCs w:val="22"/>
          <w:lang w:val="nl-NL"/>
        </w:rPr>
        <w:t>°C watertemperatuur per dag.</w:t>
      </w:r>
      <w:r w:rsidR="006661A5">
        <w:rPr>
          <w:rFonts w:asciiTheme="minorHAnsi" w:hAnsiTheme="minorHAnsi" w:cs="Arial"/>
          <w:sz w:val="22"/>
          <w:szCs w:val="22"/>
          <w:lang w:val="nl-NL"/>
        </w:rPr>
        <w:t xml:space="preserve"> </w:t>
      </w:r>
      <w:r w:rsidRPr="006661A5">
        <w:rPr>
          <w:rFonts w:asciiTheme="minorHAnsi" w:hAnsiTheme="minorHAnsi" w:cs="Arial"/>
          <w:sz w:val="22"/>
          <w:szCs w:val="22"/>
          <w:lang w:val="nl-NL"/>
        </w:rPr>
        <w:t>De voegen van de chape dienen in de vloerbekleding overgenomen te worden conform de richtlijnen van de TV 241 punt 7.2.5</w:t>
      </w:r>
      <w:r w:rsidR="00B34EF2">
        <w:rPr>
          <w:rFonts w:asciiTheme="minorHAnsi" w:hAnsiTheme="minorHAnsi" w:cs="Arial"/>
          <w:sz w:val="22"/>
          <w:szCs w:val="22"/>
          <w:lang w:val="nl-NL"/>
        </w:rPr>
        <w:t>.</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dekvloer wordt gereinigd en stofvrij gemaakt alvorens de primer aan te brengen.</w:t>
      </w:r>
    </w:p>
    <w:p w:rsidR="00EA686A" w:rsidRPr="006661A5" w:rsidRDefault="00B34EF2" w:rsidP="000C013A">
      <w:pPr>
        <w:pStyle w:val="TxBrp5"/>
        <w:numPr>
          <w:ilvl w:val="0"/>
          <w:numId w:val="13"/>
        </w:numPr>
        <w:spacing w:line="276" w:lineRule="auto"/>
        <w:rPr>
          <w:rFonts w:asciiTheme="minorHAnsi" w:hAnsiTheme="minorHAnsi" w:cs="Arial"/>
          <w:sz w:val="22"/>
          <w:szCs w:val="22"/>
          <w:lang w:val="nl-NL"/>
        </w:rPr>
      </w:pPr>
      <w:r>
        <w:rPr>
          <w:rFonts w:asciiTheme="minorHAnsi" w:hAnsiTheme="minorHAnsi" w:cs="Arial"/>
          <w:sz w:val="22"/>
          <w:szCs w:val="22"/>
          <w:lang w:val="nl-NL"/>
        </w:rPr>
        <w:t>Zand</w:t>
      </w:r>
      <w:r w:rsidR="00EA686A" w:rsidRPr="006661A5">
        <w:rPr>
          <w:rFonts w:asciiTheme="minorHAnsi" w:hAnsiTheme="minorHAnsi" w:cs="Arial"/>
          <w:sz w:val="22"/>
          <w:szCs w:val="22"/>
          <w:lang w:val="nl-NL"/>
        </w:rPr>
        <w:t>cement dekvloer</w:t>
      </w:r>
    </w:p>
    <w:p w:rsidR="00EA686A" w:rsidRPr="006661A5" w:rsidRDefault="00EA686A" w:rsidP="000C013A">
      <w:pPr>
        <w:pStyle w:val="TxBrp5"/>
        <w:numPr>
          <w:ilvl w:val="3"/>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w:t>
      </w:r>
      <w:r w:rsidR="00B34EF2">
        <w:rPr>
          <w:rFonts w:asciiTheme="minorHAnsi" w:hAnsiTheme="minorHAnsi" w:cs="Arial"/>
          <w:sz w:val="22"/>
          <w:szCs w:val="22"/>
          <w:lang w:val="nl-NL"/>
        </w:rPr>
        <w:t>l</w:t>
      </w:r>
      <w:r w:rsidR="00723F00">
        <w:rPr>
          <w:rFonts w:asciiTheme="minorHAnsi" w:hAnsiTheme="minorHAnsi" w:cs="Arial"/>
          <w:sz w:val="22"/>
          <w:szCs w:val="22"/>
          <w:lang w:val="nl-NL"/>
        </w:rPr>
        <w:t xml:space="preserve"> en een verbruik van 100-200 gr</w:t>
      </w:r>
      <w:r w:rsidRPr="006661A5">
        <w:rPr>
          <w:rFonts w:asciiTheme="minorHAnsi" w:hAnsiTheme="minorHAnsi" w:cs="Arial"/>
          <w:sz w:val="22"/>
          <w:szCs w:val="22"/>
          <w:lang w:val="nl-NL"/>
        </w:rPr>
        <w:t xml:space="preserve">/m² dient tevens het label EC1+ conform EN 13999-2/4 alsook het </w:t>
      </w:r>
      <w:proofErr w:type="spellStart"/>
      <w:r w:rsidRPr="006661A5">
        <w:rPr>
          <w:rFonts w:asciiTheme="minorHAnsi" w:hAnsiTheme="minorHAnsi" w:cs="Arial"/>
          <w:sz w:val="22"/>
          <w:szCs w:val="22"/>
          <w:lang w:val="nl-NL"/>
        </w:rPr>
        <w:t>eco</w:t>
      </w:r>
      <w:proofErr w:type="spellEnd"/>
      <w:r w:rsidR="00B34EF2">
        <w:rPr>
          <w:rFonts w:asciiTheme="minorHAnsi" w:hAnsiTheme="minorHAnsi" w:cs="Arial"/>
          <w:sz w:val="22"/>
          <w:szCs w:val="22"/>
          <w:lang w:val="nl-NL"/>
        </w:rPr>
        <w:t>-</w:t>
      </w:r>
      <w:r w:rsidRPr="006661A5">
        <w:rPr>
          <w:rFonts w:asciiTheme="minorHAnsi" w:hAnsiTheme="minorHAnsi" w:cs="Arial"/>
          <w:sz w:val="22"/>
          <w:szCs w:val="22"/>
          <w:lang w:val="nl-NL"/>
        </w:rPr>
        <w:t>label te hebben.</w:t>
      </w:r>
    </w:p>
    <w:p w:rsidR="00EA686A" w:rsidRPr="006661A5" w:rsidRDefault="00EA686A" w:rsidP="000C013A">
      <w:pPr>
        <w:pStyle w:val="TxBrp5"/>
        <w:numPr>
          <w:ilvl w:val="3"/>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verplicht egaliseren van de volledige oppervlakte in een minimale laagdikte van 2 </w:t>
      </w:r>
      <w:r w:rsidRPr="006661A5">
        <w:rPr>
          <w:rFonts w:asciiTheme="minorHAnsi" w:hAnsiTheme="minorHAnsi" w:cs="Arial"/>
          <w:sz w:val="22"/>
          <w:szCs w:val="22"/>
          <w:lang w:val="nl-NL"/>
        </w:rPr>
        <w:lastRenderedPageBreak/>
        <w:t xml:space="preserve">mm, met een drukvastheid van &gt; 34,0 </w:t>
      </w:r>
      <w:r w:rsidR="00B34EF2">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9,0 </w:t>
      </w:r>
      <w:r w:rsidR="00B34EF2">
        <w:rPr>
          <w:rFonts w:asciiTheme="minorHAnsi" w:hAnsiTheme="minorHAnsi" w:cs="Arial"/>
          <w:sz w:val="22"/>
          <w:szCs w:val="22"/>
          <w:lang w:val="nl-NL"/>
        </w:rPr>
        <w:t>N</w:t>
      </w:r>
      <w:r w:rsidRPr="006661A5">
        <w:rPr>
          <w:rFonts w:asciiTheme="minorHAnsi" w:hAnsiTheme="minorHAnsi" w:cs="Arial"/>
          <w:sz w:val="22"/>
          <w:szCs w:val="22"/>
          <w:lang w:val="nl-NL"/>
        </w:rPr>
        <w:t>/mm² volgens NEN-EN 13892-2:2002 na 28 dagen, toe te passen bij navraag aan de fabrikant tevens het label EC1+ alsook het</w:t>
      </w:r>
      <w:r w:rsidR="00B34EF2">
        <w:rPr>
          <w:rFonts w:asciiTheme="minorHAnsi" w:hAnsiTheme="minorHAnsi" w:cs="Arial"/>
          <w:sz w:val="22"/>
          <w:szCs w:val="22"/>
          <w:lang w:val="nl-NL"/>
        </w:rPr>
        <w:t xml:space="preserve"> label</w:t>
      </w:r>
      <w:r w:rsidRPr="006661A5">
        <w:rPr>
          <w:rFonts w:asciiTheme="minorHAnsi" w:hAnsiTheme="minorHAnsi" w:cs="Arial"/>
          <w:sz w:val="22"/>
          <w:szCs w:val="22"/>
          <w:lang w:val="nl-NL"/>
        </w:rPr>
        <w:t xml:space="preserve"> </w:t>
      </w:r>
      <w:r w:rsidR="00B34EF2">
        <w:rPr>
          <w:rFonts w:asciiTheme="minorHAnsi" w:hAnsiTheme="minorHAnsi" w:cs="Arial"/>
          <w:sz w:val="22"/>
          <w:szCs w:val="22"/>
          <w:lang w:val="nl-NL"/>
        </w:rPr>
        <w:t>“</w:t>
      </w:r>
      <w:r w:rsidRPr="006661A5">
        <w:rPr>
          <w:rFonts w:asciiTheme="minorHAnsi" w:hAnsiTheme="minorHAnsi" w:cs="Arial"/>
          <w:sz w:val="22"/>
          <w:szCs w:val="22"/>
          <w:lang w:val="nl-NL"/>
        </w:rPr>
        <w:t>90% minder stof</w:t>
      </w:r>
      <w:r w:rsidR="00B34EF2">
        <w:rPr>
          <w:rFonts w:asciiTheme="minorHAnsi" w:hAnsiTheme="minorHAnsi" w:cs="Arial"/>
          <w:sz w:val="22"/>
          <w:szCs w:val="22"/>
          <w:lang w:val="nl-NL"/>
        </w:rPr>
        <w:t>”</w:t>
      </w:r>
      <w:r w:rsidRPr="006661A5">
        <w:rPr>
          <w:rFonts w:asciiTheme="minorHAnsi" w:hAnsiTheme="minorHAnsi" w:cs="Arial"/>
          <w:sz w:val="22"/>
          <w:szCs w:val="22"/>
          <w:lang w:val="nl-NL"/>
        </w:rPr>
        <w:t xml:space="preserve"> te hebben. Dez</w:t>
      </w:r>
      <w:r w:rsidR="00B34EF2">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rsidR="00EA686A" w:rsidRPr="006661A5" w:rsidRDefault="00EA686A" w:rsidP="000C013A">
      <w:pPr>
        <w:pStyle w:val="TxBrp5"/>
        <w:numPr>
          <w:ilvl w:val="3"/>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Bestaande egalisatieproducten die geen primer behoeven met een drukvastheid van &gt; 33,0 </w:t>
      </w:r>
      <w:r w:rsidR="00845010">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11,0 </w:t>
      </w:r>
      <w:r w:rsidR="00845010">
        <w:rPr>
          <w:rFonts w:asciiTheme="minorHAnsi" w:hAnsiTheme="minorHAnsi" w:cs="Arial"/>
          <w:sz w:val="22"/>
          <w:szCs w:val="22"/>
          <w:lang w:val="nl-NL"/>
        </w:rPr>
        <w:t>N</w:t>
      </w:r>
      <w:r w:rsidRPr="006661A5">
        <w:rPr>
          <w:rFonts w:asciiTheme="minorHAnsi" w:hAnsiTheme="minorHAnsi" w:cs="Arial"/>
          <w:sz w:val="22"/>
          <w:szCs w:val="22"/>
          <w:lang w:val="nl-NL"/>
        </w:rPr>
        <w:t>/mm² volgens NEN-EN 13892-2:2002 na 28 dagen, toe te passen bij navraag aan de fabrikant tevens het label EC1+ alsook het</w:t>
      </w:r>
      <w:r w:rsidR="00845010">
        <w:rPr>
          <w:rFonts w:asciiTheme="minorHAnsi" w:hAnsiTheme="minorHAnsi" w:cs="Arial"/>
          <w:sz w:val="22"/>
          <w:szCs w:val="22"/>
          <w:lang w:val="nl-NL"/>
        </w:rPr>
        <w:t xml:space="preserve"> label</w:t>
      </w:r>
      <w:r w:rsidRPr="006661A5">
        <w:rPr>
          <w:rFonts w:asciiTheme="minorHAnsi" w:hAnsiTheme="minorHAnsi" w:cs="Arial"/>
          <w:sz w:val="22"/>
          <w:szCs w:val="22"/>
          <w:lang w:val="nl-NL"/>
        </w:rPr>
        <w:t xml:space="preserve"> </w:t>
      </w:r>
      <w:r w:rsidR="00845010">
        <w:rPr>
          <w:rFonts w:asciiTheme="minorHAnsi" w:hAnsiTheme="minorHAnsi" w:cs="Arial"/>
          <w:sz w:val="22"/>
          <w:szCs w:val="22"/>
          <w:lang w:val="nl-NL"/>
        </w:rPr>
        <w:t>“</w:t>
      </w:r>
      <w:r w:rsidRPr="006661A5">
        <w:rPr>
          <w:rFonts w:asciiTheme="minorHAnsi" w:hAnsiTheme="minorHAnsi" w:cs="Arial"/>
          <w:sz w:val="22"/>
          <w:szCs w:val="22"/>
          <w:lang w:val="nl-NL"/>
        </w:rPr>
        <w:t>90% minder stof</w:t>
      </w:r>
      <w:r w:rsidR="00845010">
        <w:rPr>
          <w:rFonts w:asciiTheme="minorHAnsi" w:hAnsiTheme="minorHAnsi" w:cs="Arial"/>
          <w:sz w:val="22"/>
          <w:szCs w:val="22"/>
          <w:lang w:val="nl-NL"/>
        </w:rPr>
        <w:t>” te hebben.</w:t>
      </w:r>
      <w:r w:rsidRPr="006661A5">
        <w:rPr>
          <w:rFonts w:asciiTheme="minorHAnsi" w:hAnsiTheme="minorHAnsi" w:cs="Arial"/>
          <w:sz w:val="22"/>
          <w:szCs w:val="22"/>
          <w:lang w:val="nl-NL"/>
        </w:rPr>
        <w:t xml:space="preserve"> Dez</w:t>
      </w:r>
      <w:r w:rsidR="00845010">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proofErr w:type="spellStart"/>
      <w:r w:rsidRPr="006661A5">
        <w:rPr>
          <w:rFonts w:asciiTheme="minorHAnsi" w:hAnsiTheme="minorHAnsi" w:cs="Arial"/>
          <w:sz w:val="22"/>
          <w:szCs w:val="22"/>
          <w:lang w:val="nl-NL"/>
        </w:rPr>
        <w:t>Anhydriet</w:t>
      </w:r>
      <w:proofErr w:type="spellEnd"/>
      <w:r w:rsidRPr="006661A5">
        <w:rPr>
          <w:rFonts w:asciiTheme="minorHAnsi" w:hAnsiTheme="minorHAnsi" w:cs="Arial"/>
          <w:sz w:val="22"/>
          <w:szCs w:val="22"/>
          <w:lang w:val="nl-NL"/>
        </w:rPr>
        <w:t xml:space="preserve"> dekvloer</w:t>
      </w:r>
    </w:p>
    <w:p w:rsidR="00EA686A" w:rsidRPr="006661A5" w:rsidRDefault="00EA686A" w:rsidP="000C013A">
      <w:pPr>
        <w:pStyle w:val="TxBrp5"/>
        <w:numPr>
          <w:ilvl w:val="3"/>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voorstrijken van de dekvloer uit synthetisch </w:t>
      </w:r>
      <w:proofErr w:type="spellStart"/>
      <w:r w:rsidRPr="006661A5">
        <w:rPr>
          <w:rFonts w:asciiTheme="minorHAnsi" w:hAnsiTheme="minorHAnsi" w:cs="Arial"/>
          <w:sz w:val="22"/>
          <w:szCs w:val="22"/>
          <w:lang w:val="nl-BE"/>
        </w:rPr>
        <w:t>anhydriet</w:t>
      </w:r>
      <w:proofErr w:type="spellEnd"/>
      <w:r w:rsidRPr="006661A5">
        <w:rPr>
          <w:rFonts w:asciiTheme="minorHAnsi" w:hAnsiTheme="minorHAnsi" w:cs="Arial"/>
          <w:sz w:val="22"/>
          <w:szCs w:val="22"/>
          <w:lang w:val="nl-NL"/>
        </w:rPr>
        <w:t xml:space="preserve"> met een aangepast voorstrijkmiddel op basis van acrylaatdispersie en een soortelijk gewicht van 1,01 kg/</w:t>
      </w:r>
      <w:r w:rsidR="00845010">
        <w:rPr>
          <w:rFonts w:asciiTheme="minorHAnsi" w:hAnsiTheme="minorHAnsi" w:cs="Arial"/>
          <w:sz w:val="22"/>
          <w:szCs w:val="22"/>
          <w:lang w:val="nl-NL"/>
        </w:rPr>
        <w:t>l</w:t>
      </w:r>
      <w:r w:rsidRPr="006661A5">
        <w:rPr>
          <w:rFonts w:asciiTheme="minorHAnsi" w:hAnsiTheme="minorHAnsi" w:cs="Arial"/>
          <w:sz w:val="22"/>
          <w:szCs w:val="22"/>
          <w:lang w:val="nl-NL"/>
        </w:rPr>
        <w:t xml:space="preserve"> en een verbruik van 100-200 gr/m² dient tevens het label EC1+ conform EN 13999-2/4 alsook het </w:t>
      </w:r>
      <w:proofErr w:type="spellStart"/>
      <w:r w:rsidRPr="006661A5">
        <w:rPr>
          <w:rFonts w:asciiTheme="minorHAnsi" w:hAnsiTheme="minorHAnsi" w:cs="Arial"/>
          <w:sz w:val="22"/>
          <w:szCs w:val="22"/>
          <w:lang w:val="nl-NL"/>
        </w:rPr>
        <w:t>eco</w:t>
      </w:r>
      <w:proofErr w:type="spellEnd"/>
      <w:r w:rsidR="00845010">
        <w:rPr>
          <w:rFonts w:asciiTheme="minorHAnsi" w:hAnsiTheme="minorHAnsi" w:cs="Arial"/>
          <w:sz w:val="22"/>
          <w:szCs w:val="22"/>
          <w:lang w:val="nl-NL"/>
        </w:rPr>
        <w:t>-</w:t>
      </w:r>
      <w:r w:rsidRPr="006661A5">
        <w:rPr>
          <w:rFonts w:asciiTheme="minorHAnsi" w:hAnsiTheme="minorHAnsi" w:cs="Arial"/>
          <w:sz w:val="22"/>
          <w:szCs w:val="22"/>
          <w:lang w:val="nl-NL"/>
        </w:rPr>
        <w:t>label te hebben</w:t>
      </w:r>
      <w:r w:rsidR="00723F00">
        <w:rPr>
          <w:rFonts w:asciiTheme="minorHAnsi" w:hAnsiTheme="minorHAnsi" w:cs="Arial"/>
          <w:sz w:val="22"/>
          <w:szCs w:val="22"/>
          <w:lang w:val="nl-NL"/>
        </w:rPr>
        <w:t>.</w:t>
      </w:r>
    </w:p>
    <w:p w:rsidR="00EA686A" w:rsidRPr="006661A5" w:rsidRDefault="00EA686A" w:rsidP="000C013A">
      <w:pPr>
        <w:pStyle w:val="TxBrp5"/>
        <w:numPr>
          <w:ilvl w:val="3"/>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Dit product moet aanbevolen zijn door de vinylfabrikant.</w:t>
      </w:r>
    </w:p>
    <w:p w:rsidR="00A1717B" w:rsidRDefault="00EA686A" w:rsidP="000C013A">
      <w:pPr>
        <w:pStyle w:val="TxBrp5"/>
        <w:numPr>
          <w:ilvl w:val="3"/>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verplicht egaliseren van de volledige oppervlakte in een minimale laagdikte van </w:t>
      </w:r>
    </w:p>
    <w:p w:rsidR="00EA686A" w:rsidRPr="006661A5" w:rsidRDefault="00EA686A" w:rsidP="00A1717B">
      <w:pPr>
        <w:pStyle w:val="TxBrp5"/>
        <w:spacing w:line="276" w:lineRule="auto"/>
        <w:ind w:left="1073" w:firstLine="0"/>
        <w:rPr>
          <w:rFonts w:asciiTheme="minorHAnsi" w:hAnsiTheme="minorHAnsi" w:cs="Arial"/>
          <w:sz w:val="22"/>
          <w:szCs w:val="22"/>
          <w:lang w:val="nl-NL"/>
        </w:rPr>
      </w:pPr>
      <w:r w:rsidRPr="006661A5">
        <w:rPr>
          <w:rFonts w:asciiTheme="minorHAnsi" w:hAnsiTheme="minorHAnsi" w:cs="Arial"/>
          <w:sz w:val="22"/>
          <w:szCs w:val="22"/>
          <w:lang w:val="nl-NL"/>
        </w:rPr>
        <w:t>2 mm, met een egalisatie op basis van Calciumsulfaat-</w:t>
      </w:r>
      <w:proofErr w:type="spellStart"/>
      <w:r w:rsidRPr="006661A5">
        <w:rPr>
          <w:rFonts w:asciiTheme="minorHAnsi" w:hAnsiTheme="minorHAnsi" w:cs="Arial"/>
          <w:sz w:val="22"/>
          <w:szCs w:val="22"/>
          <w:lang w:val="nl-NL"/>
        </w:rPr>
        <w:t>Alpha</w:t>
      </w:r>
      <w:proofErr w:type="spellEnd"/>
      <w:r w:rsidRPr="006661A5">
        <w:rPr>
          <w:rFonts w:asciiTheme="minorHAnsi" w:hAnsiTheme="minorHAnsi" w:cs="Arial"/>
          <w:sz w:val="22"/>
          <w:szCs w:val="22"/>
          <w:lang w:val="nl-NL"/>
        </w:rPr>
        <w:t>-</w:t>
      </w:r>
      <w:proofErr w:type="spellStart"/>
      <w:r w:rsidRPr="006661A5">
        <w:rPr>
          <w:rFonts w:asciiTheme="minorHAnsi" w:hAnsiTheme="minorHAnsi" w:cs="Arial"/>
          <w:sz w:val="22"/>
          <w:szCs w:val="22"/>
          <w:lang w:val="nl-NL"/>
        </w:rPr>
        <w:t>Halfhydraat</w:t>
      </w:r>
      <w:proofErr w:type="spellEnd"/>
      <w:r w:rsidRPr="006661A5">
        <w:rPr>
          <w:rFonts w:asciiTheme="minorHAnsi" w:hAnsiTheme="minorHAnsi" w:cs="Arial"/>
          <w:sz w:val="22"/>
          <w:szCs w:val="22"/>
          <w:lang w:val="nl-NL"/>
        </w:rPr>
        <w:t xml:space="preserve"> met een drukvastheid van &gt; 35,0 </w:t>
      </w:r>
      <w:r w:rsidR="00845010">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9,0 </w:t>
      </w:r>
      <w:r w:rsidR="00845010">
        <w:rPr>
          <w:rFonts w:asciiTheme="minorHAnsi" w:hAnsiTheme="minorHAnsi" w:cs="Arial"/>
          <w:sz w:val="22"/>
          <w:szCs w:val="22"/>
          <w:lang w:val="nl-NL"/>
        </w:rPr>
        <w:t>N</w:t>
      </w:r>
      <w:r w:rsidRPr="006661A5">
        <w:rPr>
          <w:rFonts w:asciiTheme="minorHAnsi" w:hAnsiTheme="minorHAnsi" w:cs="Arial"/>
          <w:sz w:val="22"/>
          <w:szCs w:val="22"/>
          <w:lang w:val="nl-NL"/>
        </w:rPr>
        <w:t xml:space="preserve">/mm² volgens NEN-EN 13892-2:2002 na 28 dagen, toe te passen bij navraag aan de fabrikant tevens het label EC1+ alsook het </w:t>
      </w:r>
      <w:r w:rsidR="00845010">
        <w:rPr>
          <w:rFonts w:asciiTheme="minorHAnsi" w:hAnsiTheme="minorHAnsi" w:cs="Arial"/>
          <w:sz w:val="22"/>
          <w:szCs w:val="22"/>
          <w:lang w:val="nl-NL"/>
        </w:rPr>
        <w:t>label “</w:t>
      </w:r>
      <w:r w:rsidRPr="006661A5">
        <w:rPr>
          <w:rFonts w:asciiTheme="minorHAnsi" w:hAnsiTheme="minorHAnsi" w:cs="Arial"/>
          <w:sz w:val="22"/>
          <w:szCs w:val="22"/>
          <w:lang w:val="nl-NL"/>
        </w:rPr>
        <w:t>90% minder stof</w:t>
      </w:r>
      <w:r w:rsidR="00845010">
        <w:rPr>
          <w:rFonts w:asciiTheme="minorHAnsi" w:hAnsiTheme="minorHAnsi" w:cs="Arial"/>
          <w:sz w:val="22"/>
          <w:szCs w:val="22"/>
          <w:lang w:val="nl-NL"/>
        </w:rPr>
        <w:t xml:space="preserve">” </w:t>
      </w:r>
      <w:r w:rsidRPr="006661A5">
        <w:rPr>
          <w:rFonts w:asciiTheme="minorHAnsi" w:hAnsiTheme="minorHAnsi" w:cs="Arial"/>
          <w:sz w:val="22"/>
          <w:szCs w:val="22"/>
          <w:lang w:val="nl-NL"/>
        </w:rPr>
        <w:t>te hebben. Dez</w:t>
      </w:r>
      <w:r w:rsidR="00845010">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rsidR="00EA686A" w:rsidRPr="006661A5" w:rsidRDefault="00EA686A" w:rsidP="000C013A">
      <w:pPr>
        <w:pStyle w:val="TxBrp5"/>
        <w:numPr>
          <w:ilvl w:val="3"/>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Bestaande egalisatieproducten die gee</w:t>
      </w:r>
      <w:r w:rsidR="00845010">
        <w:rPr>
          <w:rFonts w:asciiTheme="minorHAnsi" w:hAnsiTheme="minorHAnsi" w:cs="Arial"/>
          <w:sz w:val="22"/>
          <w:szCs w:val="22"/>
          <w:lang w:val="nl-NL"/>
        </w:rPr>
        <w:t xml:space="preserve">n primer behoeven op basis van </w:t>
      </w:r>
      <w:r w:rsidRPr="006661A5">
        <w:rPr>
          <w:rFonts w:asciiTheme="minorHAnsi" w:hAnsiTheme="minorHAnsi" w:cs="Arial"/>
          <w:sz w:val="22"/>
          <w:szCs w:val="22"/>
          <w:lang w:val="nl-NL"/>
        </w:rPr>
        <w:t>Calciumsulfaat-</w:t>
      </w:r>
      <w:proofErr w:type="spellStart"/>
      <w:r w:rsidRPr="006661A5">
        <w:rPr>
          <w:rFonts w:asciiTheme="minorHAnsi" w:hAnsiTheme="minorHAnsi" w:cs="Arial"/>
          <w:sz w:val="22"/>
          <w:szCs w:val="22"/>
          <w:lang w:val="nl-NL"/>
        </w:rPr>
        <w:t>hemidraat</w:t>
      </w:r>
      <w:proofErr w:type="spellEnd"/>
      <w:r w:rsidRPr="006661A5">
        <w:rPr>
          <w:rFonts w:asciiTheme="minorHAnsi" w:hAnsiTheme="minorHAnsi" w:cs="Arial"/>
          <w:sz w:val="22"/>
          <w:szCs w:val="22"/>
          <w:lang w:val="nl-NL"/>
        </w:rPr>
        <w:t xml:space="preserve"> met een bijzonder hoog gehalte aan kun</w:t>
      </w:r>
      <w:r w:rsidR="00723F00">
        <w:rPr>
          <w:rFonts w:asciiTheme="minorHAnsi" w:hAnsiTheme="minorHAnsi" w:cs="Arial"/>
          <w:sz w:val="22"/>
          <w:szCs w:val="22"/>
          <w:lang w:val="nl-NL"/>
        </w:rPr>
        <w:t>st</w:t>
      </w:r>
      <w:r w:rsidRPr="006661A5">
        <w:rPr>
          <w:rFonts w:asciiTheme="minorHAnsi" w:hAnsiTheme="minorHAnsi" w:cs="Arial"/>
          <w:sz w:val="22"/>
          <w:szCs w:val="22"/>
          <w:lang w:val="nl-NL"/>
        </w:rPr>
        <w:t xml:space="preserve">stofbindmiddelen met een drukvastheid van &gt; 30,0 </w:t>
      </w:r>
      <w:r w:rsidR="00845010">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11,0 </w:t>
      </w:r>
      <w:r w:rsidR="00845010">
        <w:rPr>
          <w:rFonts w:asciiTheme="minorHAnsi" w:hAnsiTheme="minorHAnsi" w:cs="Arial"/>
          <w:sz w:val="22"/>
          <w:szCs w:val="22"/>
          <w:lang w:val="nl-NL"/>
        </w:rPr>
        <w:t>N</w:t>
      </w:r>
      <w:r w:rsidRPr="006661A5">
        <w:rPr>
          <w:rFonts w:asciiTheme="minorHAnsi" w:hAnsiTheme="minorHAnsi" w:cs="Arial"/>
          <w:sz w:val="22"/>
          <w:szCs w:val="22"/>
          <w:lang w:val="nl-NL"/>
        </w:rPr>
        <w:t xml:space="preserve">/mm² volgens NEN-EN 13892-2:2002 na 28 dagen, toe te passen bij navraag aan de fabrikant tevens het label EC1+ alsook het </w:t>
      </w:r>
      <w:r w:rsidR="00845010">
        <w:rPr>
          <w:rFonts w:asciiTheme="minorHAnsi" w:hAnsiTheme="minorHAnsi" w:cs="Arial"/>
          <w:sz w:val="22"/>
          <w:szCs w:val="22"/>
          <w:lang w:val="nl-NL"/>
        </w:rPr>
        <w:t>label “</w:t>
      </w:r>
      <w:r w:rsidRPr="006661A5">
        <w:rPr>
          <w:rFonts w:asciiTheme="minorHAnsi" w:hAnsiTheme="minorHAnsi" w:cs="Arial"/>
          <w:sz w:val="22"/>
          <w:szCs w:val="22"/>
          <w:lang w:val="nl-NL"/>
        </w:rPr>
        <w:t>90% minder stof</w:t>
      </w:r>
      <w:r w:rsidR="00845010">
        <w:rPr>
          <w:rFonts w:asciiTheme="minorHAnsi" w:hAnsiTheme="minorHAnsi" w:cs="Arial"/>
          <w:sz w:val="22"/>
          <w:szCs w:val="22"/>
          <w:lang w:val="nl-NL"/>
        </w:rPr>
        <w:t xml:space="preserve">” </w:t>
      </w:r>
      <w:r w:rsidRPr="006661A5">
        <w:rPr>
          <w:rFonts w:asciiTheme="minorHAnsi" w:hAnsiTheme="minorHAnsi" w:cs="Arial"/>
          <w:sz w:val="22"/>
          <w:szCs w:val="22"/>
          <w:lang w:val="nl-NL"/>
        </w:rPr>
        <w:t>te hebben. Dez</w:t>
      </w:r>
      <w:r w:rsidR="00845010">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laagdikte en weerstand van de egalisatie is in functie van de permanente puntbelasting en de aard van het verkeer.</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Voor het bekomen van een effen oppervlakte zal de </w:t>
      </w:r>
      <w:proofErr w:type="spellStart"/>
      <w:r w:rsidRPr="006661A5">
        <w:rPr>
          <w:rFonts w:asciiTheme="minorHAnsi" w:hAnsiTheme="minorHAnsi" w:cs="Arial"/>
          <w:sz w:val="22"/>
          <w:szCs w:val="22"/>
          <w:lang w:val="nl-NL"/>
        </w:rPr>
        <w:t>egalisatielaag</w:t>
      </w:r>
      <w:proofErr w:type="spellEnd"/>
      <w:r w:rsidRPr="006661A5">
        <w:rPr>
          <w:rFonts w:asciiTheme="minorHAnsi" w:hAnsiTheme="minorHAnsi" w:cs="Arial"/>
          <w:sz w:val="22"/>
          <w:szCs w:val="22"/>
          <w:lang w:val="nl-NL"/>
        </w:rPr>
        <w:t xml:space="preserve"> worden opgeschuurd.</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G</w:t>
      </w:r>
      <w:proofErr w:type="spellStart"/>
      <w:r w:rsidRPr="006661A5">
        <w:rPr>
          <w:rFonts w:asciiTheme="minorHAnsi" w:hAnsiTheme="minorHAnsi" w:cs="Arial"/>
          <w:sz w:val="22"/>
          <w:szCs w:val="22"/>
          <w:lang w:val="nl-BE"/>
        </w:rPr>
        <w:t>ebruik</w:t>
      </w:r>
      <w:proofErr w:type="spellEnd"/>
      <w:r w:rsidRPr="006661A5">
        <w:rPr>
          <w:rFonts w:asciiTheme="minorHAnsi" w:hAnsiTheme="minorHAnsi" w:cs="Arial"/>
          <w:sz w:val="22"/>
          <w:szCs w:val="22"/>
          <w:lang w:val="nl-BE"/>
        </w:rPr>
        <w:t xml:space="preserve"> in één ruimte bij één kleur, dezelfde batchnummers en opeenvolgende rolnummers om kleur- en structuurverschillen te voorkomen.</w:t>
      </w:r>
    </w:p>
    <w:p w:rsidR="00EA686A" w:rsidRPr="006661A5" w:rsidRDefault="00EA686A" w:rsidP="000C013A">
      <w:pPr>
        <w:pStyle w:val="TxBrp5"/>
        <w:numPr>
          <w:ilvl w:val="0"/>
          <w:numId w:val="8"/>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banen worden gestort geplaatst tenzij anders wordt vermeld.</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vinyl dient verlijmd te worden met een type lijm op basis van hoogwaardige acrylaatdispersie m</w:t>
      </w:r>
      <w:r w:rsidR="00845010">
        <w:rPr>
          <w:rFonts w:asciiTheme="minorHAnsi" w:hAnsiTheme="minorHAnsi" w:cs="Arial"/>
          <w:sz w:val="22"/>
          <w:szCs w:val="22"/>
          <w:lang w:val="nl-NL"/>
        </w:rPr>
        <w:t>et een soortelijk gewicht van 1,</w:t>
      </w:r>
      <w:r w:rsidRPr="006661A5">
        <w:rPr>
          <w:rFonts w:asciiTheme="minorHAnsi" w:hAnsiTheme="minorHAnsi" w:cs="Arial"/>
          <w:sz w:val="22"/>
          <w:szCs w:val="22"/>
          <w:lang w:val="nl-NL"/>
        </w:rPr>
        <w:t>27 kg/</w:t>
      </w:r>
      <w:r w:rsidR="00845010">
        <w:rPr>
          <w:rFonts w:asciiTheme="minorHAnsi" w:hAnsiTheme="minorHAnsi" w:cs="Arial"/>
          <w:sz w:val="22"/>
          <w:szCs w:val="22"/>
          <w:lang w:val="nl-NL"/>
        </w:rPr>
        <w:t>l</w:t>
      </w:r>
      <w:r w:rsidRPr="006661A5">
        <w:rPr>
          <w:rFonts w:asciiTheme="minorHAnsi" w:hAnsiTheme="minorHAnsi" w:cs="Arial"/>
          <w:sz w:val="22"/>
          <w:szCs w:val="22"/>
          <w:lang w:val="nl-NL"/>
        </w:rPr>
        <w:t xml:space="preserve">. en een verbruik van 225-275 gr/m² en dient tevens het label EC1+ conform EN 13999-2/4 alsook het label Der </w:t>
      </w:r>
      <w:proofErr w:type="spellStart"/>
      <w:r w:rsidRPr="006661A5">
        <w:rPr>
          <w:rFonts w:asciiTheme="minorHAnsi" w:hAnsiTheme="minorHAnsi" w:cs="Arial"/>
          <w:sz w:val="22"/>
          <w:szCs w:val="22"/>
          <w:lang w:val="nl-NL"/>
        </w:rPr>
        <w:t>Blaue</w:t>
      </w:r>
      <w:proofErr w:type="spellEnd"/>
      <w:r w:rsidRPr="006661A5">
        <w:rPr>
          <w:rFonts w:asciiTheme="minorHAnsi" w:hAnsiTheme="minorHAnsi" w:cs="Arial"/>
          <w:sz w:val="22"/>
          <w:szCs w:val="22"/>
          <w:lang w:val="nl-NL"/>
        </w:rPr>
        <w:t xml:space="preserve"> Engel te hebben. Deze lijm wordt steeds aangebracht met een A2 vertanding en dient door de vinylfabrikant goedgekeurd te worden.</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vinyl moet in een halfdroog </w:t>
      </w:r>
      <w:proofErr w:type="spellStart"/>
      <w:r w:rsidRPr="006661A5">
        <w:rPr>
          <w:rFonts w:asciiTheme="minorHAnsi" w:hAnsiTheme="minorHAnsi" w:cs="Arial"/>
          <w:sz w:val="22"/>
          <w:szCs w:val="22"/>
          <w:lang w:val="nl-NL"/>
        </w:rPr>
        <w:t>lijmbed</w:t>
      </w:r>
      <w:proofErr w:type="spellEnd"/>
      <w:r w:rsidRPr="006661A5">
        <w:rPr>
          <w:rFonts w:asciiTheme="minorHAnsi" w:hAnsiTheme="minorHAnsi" w:cs="Arial"/>
          <w:sz w:val="22"/>
          <w:szCs w:val="22"/>
          <w:lang w:val="nl-NL"/>
        </w:rPr>
        <w:t xml:space="preserve"> worden gelegd. </w:t>
      </w:r>
    </w:p>
    <w:p w:rsidR="00EA686A" w:rsidRPr="006661A5" w:rsidRDefault="00EA686A" w:rsidP="000C013A">
      <w:pPr>
        <w:pStyle w:val="TxBrp5"/>
        <w:numPr>
          <w:ilvl w:val="0"/>
          <w:numId w:val="8"/>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walsen van het vinyl gebeurt met een wals van ca. 65 kg in twee richtingen, eerst in de </w:t>
      </w:r>
      <w:r w:rsidRPr="006661A5">
        <w:rPr>
          <w:rFonts w:asciiTheme="minorHAnsi" w:hAnsiTheme="minorHAnsi" w:cs="Arial"/>
          <w:sz w:val="22"/>
          <w:szCs w:val="22"/>
          <w:lang w:val="nl-NL"/>
        </w:rPr>
        <w:lastRenderedPageBreak/>
        <w:t>breedte dan in de lengte van de gelegde banen. Waar het vinyl niet gewalst kan worden met de grote wals gebruik maken v</w:t>
      </w:r>
      <w:r w:rsidR="005171E0" w:rsidRPr="006661A5">
        <w:rPr>
          <w:rFonts w:asciiTheme="minorHAnsi" w:hAnsiTheme="minorHAnsi" w:cs="Arial"/>
          <w:sz w:val="22"/>
          <w:szCs w:val="22"/>
          <w:lang w:val="nl-NL"/>
        </w:rPr>
        <w:t xml:space="preserve">an een handwals. </w:t>
      </w:r>
    </w:p>
    <w:p w:rsidR="00D70600"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Nadat de lijm volledig is afgebonden worden de naden van de banen uitgefreesd en  onderling gelast door het insmelten van een vinyllasdraad.  </w:t>
      </w:r>
    </w:p>
    <w:p w:rsidR="00D70600" w:rsidRPr="00D70600" w:rsidRDefault="00D70600" w:rsidP="000C013A">
      <w:pPr>
        <w:pStyle w:val="TxBrp5"/>
        <w:spacing w:line="276" w:lineRule="auto"/>
        <w:ind w:left="683" w:firstLine="0"/>
        <w:rPr>
          <w:rFonts w:asciiTheme="minorHAnsi" w:hAnsiTheme="minorHAnsi" w:cs="Arial"/>
          <w:sz w:val="22"/>
          <w:szCs w:val="22"/>
          <w:lang w:val="nl-BE"/>
        </w:rPr>
      </w:pPr>
      <w:r w:rsidRPr="00D70600">
        <w:rPr>
          <w:rFonts w:asciiTheme="minorHAnsi" w:hAnsiTheme="minorHAnsi" w:cs="Arial"/>
          <w:sz w:val="22"/>
          <w:szCs w:val="22"/>
          <w:lang w:val="nl-BE"/>
        </w:rPr>
        <w:t xml:space="preserve">De dessins </w:t>
      </w:r>
      <w:proofErr w:type="spellStart"/>
      <w:r w:rsidR="00A1717B">
        <w:rPr>
          <w:rFonts w:asciiTheme="minorHAnsi" w:hAnsiTheme="minorHAnsi" w:cs="Arial"/>
          <w:sz w:val="22"/>
          <w:szCs w:val="22"/>
          <w:lang w:val="nl-BE"/>
        </w:rPr>
        <w:t>T</w:t>
      </w:r>
      <w:r w:rsidRPr="00D70600">
        <w:rPr>
          <w:rFonts w:asciiTheme="minorHAnsi" w:hAnsiTheme="minorHAnsi" w:cs="Arial"/>
          <w:sz w:val="22"/>
          <w:szCs w:val="22"/>
          <w:lang w:val="nl-BE"/>
        </w:rPr>
        <w:t>errazo</w:t>
      </w:r>
      <w:proofErr w:type="spellEnd"/>
      <w:r w:rsidRPr="00D70600">
        <w:rPr>
          <w:rFonts w:asciiTheme="minorHAnsi" w:hAnsiTheme="minorHAnsi" w:cs="Arial"/>
          <w:sz w:val="22"/>
          <w:szCs w:val="22"/>
          <w:lang w:val="nl-BE"/>
        </w:rPr>
        <w:t>,</w:t>
      </w:r>
      <w:r>
        <w:rPr>
          <w:rFonts w:asciiTheme="minorHAnsi" w:hAnsiTheme="minorHAnsi" w:cs="Arial"/>
          <w:sz w:val="22"/>
          <w:szCs w:val="22"/>
          <w:lang w:val="nl-BE"/>
        </w:rPr>
        <w:t xml:space="preserve"> </w:t>
      </w:r>
      <w:r w:rsidR="00A1717B">
        <w:rPr>
          <w:rFonts w:asciiTheme="minorHAnsi" w:hAnsiTheme="minorHAnsi" w:cs="Arial"/>
          <w:sz w:val="22"/>
          <w:szCs w:val="22"/>
          <w:lang w:val="nl-BE"/>
        </w:rPr>
        <w:t>R</w:t>
      </w:r>
      <w:r w:rsidRPr="00D70600">
        <w:rPr>
          <w:rFonts w:asciiTheme="minorHAnsi" w:hAnsiTheme="minorHAnsi" w:cs="Arial"/>
          <w:sz w:val="22"/>
          <w:szCs w:val="22"/>
          <w:lang w:val="nl-BE"/>
        </w:rPr>
        <w:t xml:space="preserve">ainbow en </w:t>
      </w:r>
      <w:r w:rsidR="00A1717B">
        <w:rPr>
          <w:rFonts w:asciiTheme="minorHAnsi" w:hAnsiTheme="minorHAnsi" w:cs="Arial"/>
          <w:sz w:val="22"/>
          <w:szCs w:val="22"/>
          <w:lang w:val="nl-BE"/>
        </w:rPr>
        <w:t>P</w:t>
      </w:r>
      <w:r w:rsidRPr="00D70600">
        <w:rPr>
          <w:rFonts w:asciiTheme="minorHAnsi" w:hAnsiTheme="minorHAnsi" w:cs="Arial"/>
          <w:sz w:val="22"/>
          <w:szCs w:val="22"/>
          <w:lang w:val="nl-BE"/>
        </w:rPr>
        <w:t>aint worden koud</w:t>
      </w:r>
      <w:r w:rsidR="00A1717B">
        <w:rPr>
          <w:rFonts w:asciiTheme="minorHAnsi" w:hAnsiTheme="minorHAnsi" w:cs="Arial"/>
          <w:sz w:val="22"/>
          <w:szCs w:val="22"/>
          <w:lang w:val="nl-BE"/>
        </w:rPr>
        <w:t xml:space="preserve"> </w:t>
      </w:r>
      <w:r>
        <w:rPr>
          <w:rFonts w:asciiTheme="minorHAnsi" w:hAnsiTheme="minorHAnsi" w:cs="Arial"/>
          <w:sz w:val="22"/>
          <w:szCs w:val="22"/>
          <w:lang w:val="nl-BE"/>
        </w:rPr>
        <w:t>gelast.</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vinyl wordt tegen de wand afgewerkt in functie van de gekozen plint.</w:t>
      </w:r>
    </w:p>
    <w:p w:rsidR="00EA686A" w:rsidRPr="006661A5" w:rsidRDefault="00EA686A" w:rsidP="000C013A">
      <w:pPr>
        <w:pStyle w:val="TxBrp5"/>
        <w:numPr>
          <w:ilvl w:val="0"/>
          <w:numId w:val="13"/>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Opkuisen en reinigen (neutraal reinigingsproduct)van de vloerbekleding, inbegrepen het verwijderen van de overtollige kit.</w:t>
      </w:r>
    </w:p>
    <w:p w:rsidR="00EA686A" w:rsidRPr="006661A5" w:rsidRDefault="00EA686A" w:rsidP="000C013A">
      <w:pPr>
        <w:tabs>
          <w:tab w:val="left" w:pos="323"/>
        </w:tabs>
        <w:spacing w:line="276" w:lineRule="auto"/>
        <w:rPr>
          <w:rFonts w:asciiTheme="minorHAnsi" w:hAnsiTheme="minorHAnsi" w:cs="Arial"/>
          <w:sz w:val="22"/>
          <w:szCs w:val="22"/>
          <w:u w:val="single"/>
          <w:lang w:val="nl-NL"/>
        </w:rPr>
      </w:pPr>
    </w:p>
    <w:p w:rsidR="00BB3C8A" w:rsidRDefault="00BB3C8A" w:rsidP="000C013A">
      <w:pPr>
        <w:pStyle w:val="TxBrp4"/>
        <w:spacing w:line="240" w:lineRule="auto"/>
        <w:rPr>
          <w:rFonts w:asciiTheme="minorHAnsi" w:hAnsiTheme="minorHAnsi" w:cs="Arial"/>
          <w:sz w:val="22"/>
          <w:szCs w:val="22"/>
          <w:u w:val="single"/>
          <w:lang w:val="nl-NL"/>
        </w:rPr>
      </w:pPr>
    </w:p>
    <w:p w:rsidR="00845010" w:rsidRPr="00621148" w:rsidRDefault="00845010" w:rsidP="000C013A">
      <w:pPr>
        <w:widowControl/>
        <w:autoSpaceDE/>
        <w:autoSpaceDN/>
        <w:adjustRightInd/>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rsidR="00845010" w:rsidRPr="00621148" w:rsidRDefault="00845010" w:rsidP="000C013A">
      <w:pPr>
        <w:pStyle w:val="TxBrp4"/>
        <w:spacing w:line="240" w:lineRule="auto"/>
        <w:rPr>
          <w:rFonts w:asciiTheme="minorHAnsi" w:hAnsiTheme="minorHAnsi" w:cs="Arial"/>
          <w:sz w:val="22"/>
          <w:szCs w:val="22"/>
          <w:u w:val="single"/>
          <w:lang w:val="nl-NL"/>
        </w:rPr>
      </w:pPr>
    </w:p>
    <w:p w:rsidR="00845010" w:rsidRPr="00621148" w:rsidRDefault="00845010" w:rsidP="000C013A">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rsidR="00845010" w:rsidRPr="00621148" w:rsidRDefault="00845010" w:rsidP="000C013A">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rsidR="00845010" w:rsidRDefault="00845010" w:rsidP="000C013A">
      <w:pPr>
        <w:pStyle w:val="TxBrp11"/>
        <w:tabs>
          <w:tab w:val="left" w:pos="204"/>
        </w:tabs>
        <w:spacing w:line="240" w:lineRule="auto"/>
        <w:rPr>
          <w:rFonts w:asciiTheme="minorHAnsi" w:hAnsiTheme="minorHAnsi" w:cs="Arial"/>
          <w:sz w:val="22"/>
          <w:szCs w:val="22"/>
          <w:lang w:val="nl-NL"/>
        </w:rPr>
      </w:pPr>
    </w:p>
    <w:p w:rsidR="00845010" w:rsidRPr="00621148" w:rsidRDefault="00845010" w:rsidP="000C013A">
      <w:pPr>
        <w:pStyle w:val="TxBrp11"/>
        <w:tabs>
          <w:tab w:val="left" w:pos="204"/>
        </w:tabs>
        <w:spacing w:line="240" w:lineRule="auto"/>
        <w:rPr>
          <w:rFonts w:asciiTheme="minorHAnsi" w:hAnsiTheme="minorHAnsi" w:cs="Arial"/>
          <w:sz w:val="22"/>
          <w:szCs w:val="22"/>
          <w:lang w:val="nl-NL"/>
        </w:rPr>
      </w:pPr>
    </w:p>
    <w:p w:rsidR="00845010" w:rsidRPr="00621148" w:rsidRDefault="00845010" w:rsidP="000C013A">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rsidR="00845010" w:rsidRPr="00621148" w:rsidRDefault="00845010" w:rsidP="000C013A">
      <w:pPr>
        <w:rPr>
          <w:rFonts w:asciiTheme="minorHAnsi" w:hAnsiTheme="minorHAnsi" w:cs="Arial"/>
          <w:sz w:val="22"/>
          <w:szCs w:val="22"/>
          <w:u w:val="single"/>
          <w:lang w:val="nl-NL"/>
        </w:rPr>
      </w:pPr>
    </w:p>
    <w:p w:rsidR="00845010" w:rsidRPr="00621148" w:rsidRDefault="00845010" w:rsidP="000C013A">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rsidR="00845010" w:rsidRDefault="00845010" w:rsidP="000C013A">
      <w:pPr>
        <w:pStyle w:val="TxBrp4"/>
        <w:spacing w:line="240" w:lineRule="auto"/>
        <w:rPr>
          <w:rFonts w:asciiTheme="minorHAnsi" w:hAnsiTheme="minorHAnsi" w:cs="Arial"/>
          <w:sz w:val="22"/>
          <w:szCs w:val="22"/>
          <w:lang w:val="nl-NL"/>
        </w:rPr>
      </w:pPr>
    </w:p>
    <w:p w:rsidR="00845010" w:rsidRPr="00621148" w:rsidRDefault="00845010" w:rsidP="000C013A">
      <w:pPr>
        <w:pStyle w:val="TxBrp4"/>
        <w:spacing w:line="240" w:lineRule="auto"/>
        <w:rPr>
          <w:rFonts w:asciiTheme="minorHAnsi" w:hAnsiTheme="minorHAnsi" w:cs="Arial"/>
          <w:sz w:val="22"/>
          <w:szCs w:val="22"/>
          <w:lang w:val="nl-NL"/>
        </w:rPr>
      </w:pPr>
    </w:p>
    <w:p w:rsidR="00845010" w:rsidRDefault="00845010" w:rsidP="000C013A">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rsidR="00845010" w:rsidRPr="006A70F7" w:rsidRDefault="00845010" w:rsidP="000C013A">
      <w:pPr>
        <w:rPr>
          <w:rFonts w:ascii="Calibri" w:hAnsi="Calibri" w:cs="Arial"/>
          <w:sz w:val="22"/>
          <w:szCs w:val="22"/>
          <w:lang w:val="nl-BE"/>
        </w:rPr>
      </w:pPr>
    </w:p>
    <w:p w:rsidR="00845010" w:rsidRPr="006A70F7" w:rsidRDefault="00845010" w:rsidP="000C013A">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rsidR="00845010" w:rsidRDefault="00845010" w:rsidP="000C013A">
      <w:pPr>
        <w:pStyle w:val="TxBrp4"/>
        <w:spacing w:line="240" w:lineRule="auto"/>
        <w:rPr>
          <w:rFonts w:ascii="Calibri" w:hAnsi="Calibri" w:cs="Arial"/>
          <w:sz w:val="22"/>
          <w:szCs w:val="22"/>
          <w:u w:val="single"/>
          <w:lang w:val="nl-NL"/>
        </w:rPr>
      </w:pPr>
    </w:p>
    <w:p w:rsidR="00845010" w:rsidRPr="006A70F7" w:rsidRDefault="00845010" w:rsidP="000C013A">
      <w:pPr>
        <w:pStyle w:val="TxBrp4"/>
        <w:spacing w:line="240" w:lineRule="auto"/>
        <w:rPr>
          <w:rFonts w:ascii="Calibri" w:hAnsi="Calibri" w:cs="Arial"/>
          <w:sz w:val="22"/>
          <w:szCs w:val="22"/>
          <w:u w:val="single"/>
          <w:lang w:val="nl-NL"/>
        </w:rPr>
      </w:pPr>
    </w:p>
    <w:p w:rsidR="00845010" w:rsidRPr="008622F9" w:rsidRDefault="00845010" w:rsidP="000C013A">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rsidR="00845010" w:rsidRPr="008622F9" w:rsidRDefault="00845010" w:rsidP="000C013A">
      <w:pPr>
        <w:ind w:left="360"/>
        <w:rPr>
          <w:rFonts w:ascii="Calibri" w:hAnsi="Calibri" w:cs="Arial"/>
          <w:sz w:val="22"/>
          <w:szCs w:val="22"/>
          <w:lang w:val="nl-BE"/>
        </w:rPr>
      </w:pPr>
    </w:p>
    <w:p w:rsidR="00845010" w:rsidRPr="008622F9" w:rsidRDefault="00845010" w:rsidP="000C013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Een garantieverzekering van 10 jaar wordt voorzien door de fabrikant van de linoleum, zowel op het product als op de uitvoering</w:t>
      </w:r>
      <w:r>
        <w:rPr>
          <w:rFonts w:ascii="Calibri" w:hAnsi="Calibri" w:cs="Arial"/>
          <w:sz w:val="22"/>
          <w:szCs w:val="22"/>
          <w:lang w:val="nl-BE"/>
        </w:rPr>
        <w:t>.</w:t>
      </w:r>
    </w:p>
    <w:p w:rsidR="00845010" w:rsidRPr="008622F9" w:rsidRDefault="00845010" w:rsidP="000C013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rsidR="00A1717B" w:rsidRDefault="00A1717B">
      <w:pPr>
        <w:widowControl/>
        <w:autoSpaceDE/>
        <w:autoSpaceDN/>
        <w:adjustRightInd/>
        <w:rPr>
          <w:rFonts w:ascii="Calibri" w:hAnsi="Calibri" w:cs="Arial"/>
          <w:sz w:val="22"/>
          <w:szCs w:val="22"/>
          <w:lang w:val="nl-BE"/>
        </w:rPr>
      </w:pPr>
      <w:r>
        <w:rPr>
          <w:rFonts w:ascii="Calibri" w:hAnsi="Calibri" w:cs="Arial"/>
          <w:sz w:val="22"/>
          <w:szCs w:val="22"/>
          <w:lang w:val="nl-BE"/>
        </w:rPr>
        <w:br w:type="page"/>
      </w:r>
    </w:p>
    <w:p w:rsidR="00845010" w:rsidRDefault="00845010" w:rsidP="000C013A">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lastRenderedPageBreak/>
        <w:t>Te dien einde machtigen algemeen aannemer – opdrachtgever – plaatsingsbedrijf de fabrikant regelmatig de werf te controleren en dit volgens een vooraf vastgestelde procedure:</w:t>
      </w:r>
    </w:p>
    <w:p w:rsidR="00845010" w:rsidRPr="008622F9" w:rsidRDefault="00845010" w:rsidP="000C013A">
      <w:pPr>
        <w:pStyle w:val="TxBrp3"/>
        <w:tabs>
          <w:tab w:val="clear" w:pos="204"/>
          <w:tab w:val="left" w:pos="708"/>
        </w:tabs>
        <w:spacing w:line="240" w:lineRule="auto"/>
        <w:rPr>
          <w:rFonts w:ascii="Calibri" w:hAnsi="Calibri" w:cs="Arial"/>
          <w:sz w:val="22"/>
          <w:szCs w:val="22"/>
          <w:lang w:val="nl-BE"/>
        </w:rPr>
      </w:pPr>
    </w:p>
    <w:p w:rsidR="00845010" w:rsidRPr="008622F9" w:rsidRDefault="00845010" w:rsidP="000C013A">
      <w:pPr>
        <w:numPr>
          <w:ilvl w:val="0"/>
          <w:numId w:val="14"/>
        </w:numPr>
        <w:rPr>
          <w:rFonts w:ascii="Calibri" w:hAnsi="Calibri" w:cs="Arial"/>
          <w:sz w:val="22"/>
          <w:szCs w:val="22"/>
          <w:lang w:val="nl-BE"/>
        </w:rPr>
      </w:pPr>
      <w:r w:rsidRPr="008622F9">
        <w:rPr>
          <w:rFonts w:ascii="Calibri" w:hAnsi="Calibri" w:cs="Arial"/>
          <w:sz w:val="22"/>
          <w:szCs w:val="22"/>
          <w:lang w:val="nl-BE"/>
        </w:rPr>
        <w:t>Inschrijven in lastenboek</w:t>
      </w:r>
    </w:p>
    <w:p w:rsidR="00845010" w:rsidRPr="008622F9" w:rsidRDefault="00845010" w:rsidP="000C013A">
      <w:pPr>
        <w:numPr>
          <w:ilvl w:val="1"/>
          <w:numId w:val="14"/>
        </w:numPr>
        <w:rPr>
          <w:rFonts w:ascii="Calibri" w:hAnsi="Calibri" w:cs="Arial"/>
          <w:sz w:val="22"/>
          <w:szCs w:val="22"/>
          <w:lang w:val="nl-BE"/>
        </w:rPr>
      </w:pPr>
      <w:r w:rsidRPr="008622F9">
        <w:rPr>
          <w:rFonts w:ascii="Calibri" w:hAnsi="Calibri" w:cs="Arial"/>
          <w:sz w:val="22"/>
          <w:szCs w:val="22"/>
          <w:lang w:val="nl-BE"/>
        </w:rPr>
        <w:t>Aanbesteding / prijsvraag algemeen aannemer</w:t>
      </w:r>
    </w:p>
    <w:p w:rsidR="00845010" w:rsidRPr="008622F9" w:rsidRDefault="00845010" w:rsidP="000C013A">
      <w:pPr>
        <w:numPr>
          <w:ilvl w:val="1"/>
          <w:numId w:val="14"/>
        </w:numPr>
        <w:rPr>
          <w:rFonts w:ascii="Calibri" w:hAnsi="Calibri" w:cs="Arial"/>
          <w:sz w:val="22"/>
          <w:szCs w:val="22"/>
          <w:lang w:val="nl-BE"/>
        </w:rPr>
      </w:pPr>
      <w:r w:rsidRPr="008622F9">
        <w:rPr>
          <w:rFonts w:ascii="Calibri" w:hAnsi="Calibri" w:cs="Arial"/>
          <w:sz w:val="22"/>
          <w:szCs w:val="22"/>
          <w:lang w:val="nl-BE"/>
        </w:rPr>
        <w:t>Vraag opdrachtgever</w:t>
      </w:r>
    </w:p>
    <w:p w:rsidR="00845010" w:rsidRPr="008622F9" w:rsidRDefault="00845010" w:rsidP="000C013A">
      <w:pPr>
        <w:numPr>
          <w:ilvl w:val="0"/>
          <w:numId w:val="14"/>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rsidR="00845010" w:rsidRPr="008622F9" w:rsidRDefault="00845010" w:rsidP="000C013A">
      <w:pPr>
        <w:numPr>
          <w:ilvl w:val="0"/>
          <w:numId w:val="14"/>
        </w:numPr>
        <w:rPr>
          <w:rFonts w:ascii="Calibri" w:hAnsi="Calibri" w:cs="Arial"/>
          <w:sz w:val="22"/>
          <w:szCs w:val="22"/>
          <w:lang w:val="nl-BE"/>
        </w:rPr>
      </w:pPr>
      <w:r w:rsidRPr="008622F9">
        <w:rPr>
          <w:rFonts w:ascii="Calibri" w:hAnsi="Calibri" w:cs="Arial"/>
          <w:sz w:val="22"/>
          <w:szCs w:val="22"/>
          <w:lang w:val="nl-BE"/>
        </w:rPr>
        <w:t>Technisch advies</w:t>
      </w:r>
    </w:p>
    <w:p w:rsidR="00845010" w:rsidRPr="008622F9" w:rsidRDefault="00845010" w:rsidP="000C013A">
      <w:pPr>
        <w:numPr>
          <w:ilvl w:val="0"/>
          <w:numId w:val="14"/>
        </w:numPr>
        <w:rPr>
          <w:rFonts w:ascii="Calibri" w:hAnsi="Calibri" w:cs="Arial"/>
          <w:sz w:val="22"/>
          <w:szCs w:val="22"/>
          <w:lang w:val="nl-BE"/>
        </w:rPr>
      </w:pPr>
      <w:r w:rsidRPr="008622F9">
        <w:rPr>
          <w:rFonts w:ascii="Calibri" w:hAnsi="Calibri" w:cs="Arial"/>
          <w:sz w:val="22"/>
          <w:szCs w:val="22"/>
          <w:lang w:val="nl-BE"/>
        </w:rPr>
        <w:t>Nazicht vóór plaatsing</w:t>
      </w:r>
    </w:p>
    <w:p w:rsidR="00845010" w:rsidRPr="008622F9" w:rsidRDefault="00845010" w:rsidP="000C013A">
      <w:pPr>
        <w:numPr>
          <w:ilvl w:val="0"/>
          <w:numId w:val="14"/>
        </w:numPr>
        <w:rPr>
          <w:rFonts w:ascii="Calibri" w:hAnsi="Calibri" w:cs="Arial"/>
          <w:sz w:val="22"/>
          <w:szCs w:val="22"/>
          <w:lang w:val="nl-BE"/>
        </w:rPr>
      </w:pPr>
      <w:r w:rsidRPr="008622F9">
        <w:rPr>
          <w:rFonts w:ascii="Calibri" w:hAnsi="Calibri" w:cs="Arial"/>
          <w:sz w:val="22"/>
          <w:szCs w:val="22"/>
          <w:lang w:val="nl-BE"/>
        </w:rPr>
        <w:t>Nazicht tijdens plaatsing</w:t>
      </w:r>
    </w:p>
    <w:p w:rsidR="00845010" w:rsidRPr="008622F9" w:rsidRDefault="00845010" w:rsidP="000C013A">
      <w:pPr>
        <w:numPr>
          <w:ilvl w:val="0"/>
          <w:numId w:val="14"/>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rsidR="00845010" w:rsidRPr="008622F9" w:rsidRDefault="00845010" w:rsidP="000C013A">
      <w:pPr>
        <w:numPr>
          <w:ilvl w:val="0"/>
          <w:numId w:val="14"/>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rsidR="00845010" w:rsidRPr="008622F9" w:rsidRDefault="00845010" w:rsidP="000C013A">
      <w:pPr>
        <w:numPr>
          <w:ilvl w:val="0"/>
          <w:numId w:val="14"/>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rsidR="00845010" w:rsidRPr="008622F9" w:rsidRDefault="00845010" w:rsidP="000C013A">
      <w:pPr>
        <w:tabs>
          <w:tab w:val="left" w:pos="204"/>
        </w:tabs>
        <w:rPr>
          <w:rFonts w:ascii="Calibri" w:hAnsi="Calibri" w:cs="Arial"/>
          <w:sz w:val="22"/>
          <w:szCs w:val="22"/>
          <w:lang w:val="nl-BE"/>
        </w:rPr>
      </w:pPr>
    </w:p>
    <w:p w:rsidR="00845010" w:rsidRPr="008622F9" w:rsidRDefault="00845010" w:rsidP="000C013A">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rsidR="00845010" w:rsidRPr="008622F9" w:rsidRDefault="00845010" w:rsidP="00A1717B">
      <w:pPr>
        <w:ind w:left="720"/>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 vergoeding van het totaalbedrag;</w:t>
      </w:r>
    </w:p>
    <w:p w:rsidR="00845010" w:rsidRPr="008622F9" w:rsidRDefault="00845010" w:rsidP="00A1717B">
      <w:pPr>
        <w:ind w:left="720"/>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 vergoeding van het totaalbedrag;</w:t>
      </w:r>
    </w:p>
    <w:p w:rsidR="00845010" w:rsidRPr="008622F9" w:rsidRDefault="00845010" w:rsidP="00A1717B">
      <w:pPr>
        <w:ind w:left="720"/>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w:t>
      </w:r>
      <w:r w:rsidR="00A1717B">
        <w:rPr>
          <w:rFonts w:ascii="Calibri" w:hAnsi="Calibri" w:cs="Arial"/>
          <w:sz w:val="22"/>
          <w:szCs w:val="22"/>
          <w:lang w:val="nl-BE"/>
        </w:rPr>
        <w:t xml:space="preserve">% </w:t>
      </w:r>
      <w:r w:rsidRPr="008622F9">
        <w:rPr>
          <w:rFonts w:ascii="Calibri" w:hAnsi="Calibri" w:cs="Arial"/>
          <w:sz w:val="22"/>
          <w:szCs w:val="22"/>
          <w:lang w:val="nl-BE"/>
        </w:rPr>
        <w:t>vergoeding van het totaalbedrag;</w:t>
      </w:r>
    </w:p>
    <w:p w:rsidR="00845010" w:rsidRPr="008622F9" w:rsidRDefault="00845010" w:rsidP="00A1717B">
      <w:pPr>
        <w:ind w:left="720"/>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rsidR="00845010" w:rsidRPr="008622F9" w:rsidRDefault="00845010" w:rsidP="00A1717B">
      <w:pPr>
        <w:pStyle w:val="TxBrp4"/>
        <w:spacing w:line="240" w:lineRule="auto"/>
        <w:ind w:left="720"/>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w:t>
      </w:r>
      <w:bookmarkStart w:id="0" w:name="_GoBack"/>
      <w:bookmarkEnd w:id="0"/>
      <w:r w:rsidRPr="008622F9">
        <w:rPr>
          <w:rFonts w:ascii="Calibri" w:hAnsi="Calibri" w:cs="Arial"/>
          <w:sz w:val="22"/>
          <w:szCs w:val="22"/>
          <w:lang w:val="nl-BE"/>
        </w:rPr>
        <w:t>% vergoeding van het totaalbedrag</w:t>
      </w:r>
      <w:r>
        <w:rPr>
          <w:rFonts w:ascii="Calibri" w:hAnsi="Calibri" w:cs="Arial"/>
          <w:sz w:val="22"/>
          <w:szCs w:val="22"/>
          <w:lang w:val="nl-BE"/>
        </w:rPr>
        <w:t>.</w:t>
      </w:r>
    </w:p>
    <w:p w:rsidR="00556C50" w:rsidRPr="00BB3C8A" w:rsidRDefault="00556C50" w:rsidP="000C013A">
      <w:pPr>
        <w:tabs>
          <w:tab w:val="left" w:pos="204"/>
        </w:tabs>
        <w:spacing w:line="276" w:lineRule="auto"/>
        <w:rPr>
          <w:rFonts w:asciiTheme="minorHAnsi" w:hAnsiTheme="minorHAnsi" w:cs="Arial"/>
          <w:sz w:val="22"/>
          <w:szCs w:val="22"/>
          <w:lang w:val="nl-NL"/>
        </w:rPr>
      </w:pPr>
    </w:p>
    <w:sectPr w:rsidR="00556C50" w:rsidRPr="00BB3C8A"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B6E" w:rsidRDefault="00222B6E" w:rsidP="006661A5">
      <w:r>
        <w:separator/>
      </w:r>
    </w:p>
  </w:endnote>
  <w:endnote w:type="continuationSeparator" w:id="0">
    <w:p w:rsidR="00222B6E" w:rsidRDefault="00222B6E"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B6E" w:rsidRDefault="00222B6E" w:rsidP="006661A5">
      <w:r>
        <w:separator/>
      </w:r>
    </w:p>
  </w:footnote>
  <w:footnote w:type="continuationSeparator" w:id="0">
    <w:p w:rsidR="00222B6E" w:rsidRDefault="00222B6E" w:rsidP="0066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1A5" w:rsidRDefault="000C013A">
    <w:pPr>
      <w:pStyle w:val="Koptekst"/>
      <w:rPr>
        <w:rFonts w:asciiTheme="minorHAnsi" w:hAnsiTheme="minorHAnsi"/>
        <w:lang w:val="nl-BE"/>
      </w:rPr>
    </w:pPr>
    <w:r>
      <w:rPr>
        <w:rFonts w:asciiTheme="minorHAnsi" w:hAnsiTheme="minorHAnsi"/>
        <w:lang w:val="nl-BE"/>
      </w:rPr>
      <w:t>September 2019</w:t>
    </w:r>
  </w:p>
  <w:p w:rsidR="00FD3E18" w:rsidRPr="006661A5" w:rsidRDefault="00FD3E18">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2"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1"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2"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4"/>
  </w:num>
  <w:num w:numId="5">
    <w:abstractNumId w:val="6"/>
  </w:num>
  <w:num w:numId="6">
    <w:abstractNumId w:val="7"/>
  </w:num>
  <w:num w:numId="7">
    <w:abstractNumId w:val="2"/>
  </w:num>
  <w:num w:numId="8">
    <w:abstractNumId w:val="1"/>
  </w:num>
  <w:num w:numId="9">
    <w:abstractNumId w:val="0"/>
  </w:num>
  <w:num w:numId="10">
    <w:abstractNumId w:val="5"/>
  </w:num>
  <w:num w:numId="11">
    <w:abstractNumId w:val="11"/>
  </w:num>
  <w:num w:numId="12">
    <w:abstractNumId w:val="9"/>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3"/>
    <w:rsid w:val="00036650"/>
    <w:rsid w:val="00037D9B"/>
    <w:rsid w:val="000540FA"/>
    <w:rsid w:val="00060138"/>
    <w:rsid w:val="00090587"/>
    <w:rsid w:val="000C013A"/>
    <w:rsid w:val="00104DDF"/>
    <w:rsid w:val="00111A3D"/>
    <w:rsid w:val="00141C7B"/>
    <w:rsid w:val="0014639C"/>
    <w:rsid w:val="001517F8"/>
    <w:rsid w:val="00174B16"/>
    <w:rsid w:val="001760B6"/>
    <w:rsid w:val="0018099A"/>
    <w:rsid w:val="00183E22"/>
    <w:rsid w:val="001A0D74"/>
    <w:rsid w:val="001B2AAE"/>
    <w:rsid w:val="001C3886"/>
    <w:rsid w:val="001D3716"/>
    <w:rsid w:val="002179A7"/>
    <w:rsid w:val="00222B6E"/>
    <w:rsid w:val="00233D50"/>
    <w:rsid w:val="0026367A"/>
    <w:rsid w:val="00293390"/>
    <w:rsid w:val="002B1FCE"/>
    <w:rsid w:val="002C4469"/>
    <w:rsid w:val="002E2280"/>
    <w:rsid w:val="002E5BF9"/>
    <w:rsid w:val="002E62FC"/>
    <w:rsid w:val="00305E84"/>
    <w:rsid w:val="003069B6"/>
    <w:rsid w:val="00370091"/>
    <w:rsid w:val="003815AB"/>
    <w:rsid w:val="003F0FD8"/>
    <w:rsid w:val="004230E7"/>
    <w:rsid w:val="00446562"/>
    <w:rsid w:val="004A2AEC"/>
    <w:rsid w:val="004F2C34"/>
    <w:rsid w:val="005171E0"/>
    <w:rsid w:val="005424BD"/>
    <w:rsid w:val="00556C50"/>
    <w:rsid w:val="005622EF"/>
    <w:rsid w:val="005B41E9"/>
    <w:rsid w:val="005B502E"/>
    <w:rsid w:val="005C3D91"/>
    <w:rsid w:val="005D5626"/>
    <w:rsid w:val="005E63B4"/>
    <w:rsid w:val="00637FE3"/>
    <w:rsid w:val="00660A23"/>
    <w:rsid w:val="006661A5"/>
    <w:rsid w:val="00670283"/>
    <w:rsid w:val="006708E9"/>
    <w:rsid w:val="006B7213"/>
    <w:rsid w:val="006E4AC3"/>
    <w:rsid w:val="006F240C"/>
    <w:rsid w:val="0070276D"/>
    <w:rsid w:val="0071218A"/>
    <w:rsid w:val="00723F00"/>
    <w:rsid w:val="00724E3C"/>
    <w:rsid w:val="00797F25"/>
    <w:rsid w:val="007A37FC"/>
    <w:rsid w:val="007A74B1"/>
    <w:rsid w:val="007B270A"/>
    <w:rsid w:val="007C6B72"/>
    <w:rsid w:val="007C7CE0"/>
    <w:rsid w:val="00812BEA"/>
    <w:rsid w:val="00825C16"/>
    <w:rsid w:val="0084014E"/>
    <w:rsid w:val="00844F8E"/>
    <w:rsid w:val="00845010"/>
    <w:rsid w:val="008475EC"/>
    <w:rsid w:val="00871103"/>
    <w:rsid w:val="00871FFC"/>
    <w:rsid w:val="008B22EF"/>
    <w:rsid w:val="008D40D6"/>
    <w:rsid w:val="009677E7"/>
    <w:rsid w:val="00976FE3"/>
    <w:rsid w:val="00A123D7"/>
    <w:rsid w:val="00A1717B"/>
    <w:rsid w:val="00A32FB4"/>
    <w:rsid w:val="00A40E57"/>
    <w:rsid w:val="00A431AC"/>
    <w:rsid w:val="00A73782"/>
    <w:rsid w:val="00A82750"/>
    <w:rsid w:val="00A84736"/>
    <w:rsid w:val="00A85526"/>
    <w:rsid w:val="00AB3523"/>
    <w:rsid w:val="00AB58DD"/>
    <w:rsid w:val="00AE37FF"/>
    <w:rsid w:val="00B34EF2"/>
    <w:rsid w:val="00B47EE4"/>
    <w:rsid w:val="00B573AC"/>
    <w:rsid w:val="00B90C26"/>
    <w:rsid w:val="00BA0E2C"/>
    <w:rsid w:val="00BB3C8A"/>
    <w:rsid w:val="00BC12B7"/>
    <w:rsid w:val="00BE7276"/>
    <w:rsid w:val="00C024D7"/>
    <w:rsid w:val="00C151F8"/>
    <w:rsid w:val="00C2498F"/>
    <w:rsid w:val="00C30D8C"/>
    <w:rsid w:val="00C51A29"/>
    <w:rsid w:val="00C61341"/>
    <w:rsid w:val="00C639C3"/>
    <w:rsid w:val="00C65ABA"/>
    <w:rsid w:val="00C75FFA"/>
    <w:rsid w:val="00C95759"/>
    <w:rsid w:val="00CB72B2"/>
    <w:rsid w:val="00CE65AA"/>
    <w:rsid w:val="00D01E11"/>
    <w:rsid w:val="00D13555"/>
    <w:rsid w:val="00D1696B"/>
    <w:rsid w:val="00D20D61"/>
    <w:rsid w:val="00D30C42"/>
    <w:rsid w:val="00D51FBD"/>
    <w:rsid w:val="00D70600"/>
    <w:rsid w:val="00D947CB"/>
    <w:rsid w:val="00D94F2E"/>
    <w:rsid w:val="00DA2334"/>
    <w:rsid w:val="00DA4BB8"/>
    <w:rsid w:val="00E068BF"/>
    <w:rsid w:val="00E40FD0"/>
    <w:rsid w:val="00E55077"/>
    <w:rsid w:val="00E73747"/>
    <w:rsid w:val="00E91270"/>
    <w:rsid w:val="00EA686A"/>
    <w:rsid w:val="00EB164C"/>
    <w:rsid w:val="00F24F6C"/>
    <w:rsid w:val="00F251D3"/>
    <w:rsid w:val="00F34E3A"/>
    <w:rsid w:val="00FD0774"/>
    <w:rsid w:val="00FD3E18"/>
    <w:rsid w:val="00FE6770"/>
    <w:rsid w:val="00FF3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D9497"/>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Koptekst">
    <w:name w:val="header"/>
    <w:basedOn w:val="Standaard"/>
    <w:link w:val="KoptekstChar"/>
    <w:unhideWhenUsed/>
    <w:rsid w:val="006661A5"/>
    <w:pPr>
      <w:tabs>
        <w:tab w:val="center" w:pos="4513"/>
        <w:tab w:val="right" w:pos="9026"/>
      </w:tabs>
    </w:pPr>
  </w:style>
  <w:style w:type="character" w:customStyle="1" w:styleId="KoptekstChar">
    <w:name w:val="Koptekst Char"/>
    <w:basedOn w:val="Standaardalinea-lettertype"/>
    <w:link w:val="Koptekst"/>
    <w:rsid w:val="006661A5"/>
    <w:rPr>
      <w:szCs w:val="24"/>
      <w:lang w:val="en-US" w:eastAsia="en-US"/>
    </w:rPr>
  </w:style>
  <w:style w:type="paragraph" w:styleId="Voettekst">
    <w:name w:val="footer"/>
    <w:basedOn w:val="Standaard"/>
    <w:link w:val="VoettekstChar"/>
    <w:unhideWhenUsed/>
    <w:rsid w:val="006661A5"/>
    <w:pPr>
      <w:tabs>
        <w:tab w:val="center" w:pos="4513"/>
        <w:tab w:val="right" w:pos="9026"/>
      </w:tabs>
    </w:pPr>
  </w:style>
  <w:style w:type="character" w:customStyle="1" w:styleId="VoettekstChar">
    <w:name w:val="Voettekst Char"/>
    <w:basedOn w:val="Standaardalinea-lettertype"/>
    <w:link w:val="Voettekst"/>
    <w:rsid w:val="006661A5"/>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1885750912">
      <w:bodyDiv w:val="1"/>
      <w:marLeft w:val="0"/>
      <w:marRight w:val="0"/>
      <w:marTop w:val="0"/>
      <w:marBottom w:val="0"/>
      <w:divBdr>
        <w:top w:val="none" w:sz="0" w:space="0" w:color="auto"/>
        <w:left w:val="none" w:sz="0" w:space="0" w:color="auto"/>
        <w:bottom w:val="none" w:sz="0" w:space="0" w:color="auto"/>
        <w:right w:val="none" w:sz="0" w:space="0" w:color="auto"/>
      </w:divBdr>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1784</Words>
  <Characters>9818</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3</cp:revision>
  <dcterms:created xsi:type="dcterms:W3CDTF">2019-09-24T12:51:00Z</dcterms:created>
  <dcterms:modified xsi:type="dcterms:W3CDTF">2019-09-24T12:58:00Z</dcterms:modified>
</cp:coreProperties>
</file>